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E309A">
      <w:pPr>
        <w:jc w:val="center"/>
        <w:rPr>
          <w:rFonts w:hint="default" w:ascii="宋体" w:hAnsi="宋体" w:cs="宋体"/>
          <w:color w:val="auto"/>
          <w:kern w:val="2"/>
          <w:sz w:val="72"/>
          <w:szCs w:val="72"/>
          <w:highlight w:val="none"/>
          <w:lang w:val="en-US" w:eastAsia="zh-CN"/>
        </w:rPr>
      </w:pPr>
      <w:r>
        <w:rPr>
          <w:rFonts w:hint="eastAsia" w:ascii="宋体" w:hAnsi="宋体" w:cs="宋体"/>
          <w:b/>
          <w:sz w:val="44"/>
          <w:szCs w:val="44"/>
          <w:highlight w:val="none"/>
          <w:lang w:val="en-US" w:eastAsia="zh-CN"/>
        </w:rPr>
        <w:t>桂林技师学院</w:t>
      </w:r>
    </w:p>
    <w:p w14:paraId="19DA941F">
      <w:pPr>
        <w:jc w:val="center"/>
        <w:rPr>
          <w:rFonts w:hint="eastAsia" w:ascii="宋体" w:hAnsi="宋体" w:cs="宋体"/>
          <w:color w:val="auto"/>
          <w:kern w:val="2"/>
          <w:sz w:val="72"/>
          <w:szCs w:val="72"/>
          <w:highlight w:val="none"/>
          <w:lang w:val="en-US" w:eastAsia="zh-CN"/>
        </w:rPr>
      </w:pPr>
    </w:p>
    <w:p w14:paraId="66881C0D">
      <w:pPr>
        <w:jc w:val="center"/>
        <w:rPr>
          <w:rFonts w:hint="eastAsia" w:ascii="宋体" w:hAnsi="宋体" w:cs="宋体"/>
          <w:color w:val="auto"/>
          <w:kern w:val="2"/>
          <w:sz w:val="86"/>
          <w:szCs w:val="86"/>
          <w:highlight w:val="none"/>
          <w:lang w:val="en-US" w:eastAsia="zh-CN"/>
        </w:rPr>
      </w:pPr>
      <w:r>
        <w:rPr>
          <w:rFonts w:hint="eastAsia" w:ascii="宋体" w:hAnsi="宋体" w:cs="宋体"/>
          <w:color w:val="auto"/>
          <w:kern w:val="2"/>
          <w:sz w:val="72"/>
          <w:szCs w:val="72"/>
          <w:highlight w:val="none"/>
          <w:lang w:val="en-US" w:eastAsia="zh-CN"/>
        </w:rPr>
        <w:t>询价招标采购文件</w:t>
      </w:r>
    </w:p>
    <w:p w14:paraId="2A06C0BF">
      <w:pPr>
        <w:pStyle w:val="22"/>
        <w:widowControl w:val="0"/>
        <w:spacing w:before="0" w:beforeAutospacing="0" w:after="0" w:afterAutospacing="0"/>
        <w:jc w:val="both"/>
        <w:rPr>
          <w:highlight w:val="none"/>
        </w:rPr>
      </w:pPr>
    </w:p>
    <w:p w14:paraId="057CF90B">
      <w:pPr>
        <w:pStyle w:val="22"/>
        <w:widowControl w:val="0"/>
        <w:spacing w:before="0" w:beforeAutospacing="0" w:after="0" w:afterAutospacing="0"/>
        <w:ind w:firstLine="4440" w:firstLineChars="1850"/>
        <w:jc w:val="both"/>
        <w:rPr>
          <w:highlight w:val="none"/>
        </w:rPr>
      </w:pPr>
    </w:p>
    <w:p w14:paraId="2D7715B6">
      <w:pPr>
        <w:pStyle w:val="22"/>
        <w:widowControl w:val="0"/>
        <w:spacing w:before="0" w:beforeAutospacing="0" w:after="0" w:afterAutospacing="0"/>
        <w:ind w:firstLine="4440" w:firstLineChars="1850"/>
        <w:jc w:val="both"/>
        <w:rPr>
          <w:highlight w:val="none"/>
        </w:rPr>
      </w:pPr>
    </w:p>
    <w:p w14:paraId="4E39F37F">
      <w:pPr>
        <w:pStyle w:val="22"/>
        <w:widowControl w:val="0"/>
        <w:spacing w:before="0" w:beforeAutospacing="0" w:after="0" w:afterAutospacing="0"/>
        <w:jc w:val="both"/>
        <w:rPr>
          <w:highlight w:val="none"/>
        </w:rPr>
      </w:pPr>
    </w:p>
    <w:p w14:paraId="71BF1B2B">
      <w:pPr>
        <w:pStyle w:val="22"/>
        <w:widowControl w:val="0"/>
        <w:spacing w:before="0" w:beforeAutospacing="0" w:after="0" w:afterAutospacing="0"/>
        <w:ind w:firstLine="4440" w:firstLineChars="1850"/>
        <w:jc w:val="both"/>
        <w:rPr>
          <w:highlight w:val="none"/>
        </w:rPr>
      </w:pPr>
    </w:p>
    <w:p w14:paraId="61F2474B">
      <w:pPr>
        <w:pStyle w:val="22"/>
        <w:widowControl w:val="0"/>
        <w:spacing w:before="0" w:beforeAutospacing="0" w:after="0" w:afterAutospacing="0"/>
        <w:jc w:val="both"/>
        <w:rPr>
          <w:highlight w:val="none"/>
        </w:rPr>
      </w:pPr>
    </w:p>
    <w:p w14:paraId="601CBF3B">
      <w:pPr>
        <w:ind w:firstLine="600" w:firstLineChars="250"/>
        <w:rPr>
          <w:rFonts w:ascii="宋体" w:hAnsi="宋体" w:cs="宋体"/>
          <w:sz w:val="24"/>
          <w:highlight w:val="none"/>
        </w:rPr>
      </w:pPr>
    </w:p>
    <w:p w14:paraId="396CBEA3">
      <w:pPr>
        <w:ind w:right="913"/>
        <w:jc w:val="center"/>
        <w:rPr>
          <w:rFonts w:hint="eastAsia" w:ascii="宋体" w:hAnsi="宋体" w:cs="宋体"/>
          <w:b/>
          <w:sz w:val="32"/>
          <w:szCs w:val="32"/>
          <w:highlight w:val="none"/>
          <w:lang w:eastAsia="zh-CN"/>
        </w:rPr>
      </w:pP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项目名称：</w:t>
      </w:r>
      <w:r>
        <w:rPr>
          <w:rFonts w:hint="eastAsia" w:ascii="宋体" w:hAnsi="宋体" w:cs="宋体"/>
          <w:b/>
          <w:sz w:val="32"/>
          <w:szCs w:val="32"/>
          <w:highlight w:val="none"/>
          <w:lang w:eastAsia="zh-CN"/>
        </w:rPr>
        <w:t>桂林技师学院</w:t>
      </w:r>
      <w:r>
        <w:rPr>
          <w:rFonts w:hint="eastAsia" w:ascii="宋体" w:hAnsi="宋体" w:cs="宋体"/>
          <w:b/>
          <w:sz w:val="32"/>
          <w:szCs w:val="32"/>
          <w:highlight w:val="none"/>
          <w:lang w:val="en-US" w:eastAsia="zh-CN"/>
        </w:rPr>
        <w:t>全自动体外除颤仪（AED） 采购</w:t>
      </w:r>
    </w:p>
    <w:p w14:paraId="0BEE4D21">
      <w:pPr>
        <w:pStyle w:val="35"/>
        <w:rPr>
          <w:rFonts w:hint="eastAsia" w:ascii="宋体" w:hAnsi="宋体" w:cs="宋体"/>
          <w:b/>
          <w:sz w:val="32"/>
          <w:szCs w:val="32"/>
          <w:highlight w:val="none"/>
          <w:lang w:eastAsia="zh-CN"/>
        </w:rPr>
      </w:pPr>
    </w:p>
    <w:p w14:paraId="29CCAD08">
      <w:pPr>
        <w:pStyle w:val="35"/>
        <w:rPr>
          <w:rFonts w:hint="eastAsia" w:ascii="宋体" w:hAnsi="宋体" w:cs="宋体"/>
          <w:b/>
          <w:sz w:val="32"/>
          <w:szCs w:val="32"/>
          <w:highlight w:val="none"/>
          <w:lang w:eastAsia="zh-CN"/>
        </w:rPr>
      </w:pPr>
    </w:p>
    <w:p w14:paraId="49EC1C95">
      <w:pPr>
        <w:pStyle w:val="36"/>
        <w:rPr>
          <w:rFonts w:hint="eastAsia"/>
          <w:highlight w:val="none"/>
        </w:rPr>
      </w:pPr>
    </w:p>
    <w:p w14:paraId="4C659957">
      <w:pPr>
        <w:ind w:right="913" w:firstLine="2891" w:firstLineChars="900"/>
        <w:rPr>
          <w:rFonts w:hint="default" w:ascii="宋体" w:hAnsi="宋体" w:eastAsia="宋体" w:cs="宋体"/>
          <w:b/>
          <w:sz w:val="32"/>
          <w:szCs w:val="32"/>
          <w:highlight w:val="none"/>
          <w:lang w:val="en-US" w:eastAsia="zh-CN"/>
        </w:rPr>
      </w:pPr>
      <w:r>
        <w:rPr>
          <w:rFonts w:hint="eastAsia" w:ascii="宋体" w:hAnsi="宋体" w:cs="宋体"/>
          <w:b/>
          <w:sz w:val="32"/>
          <w:szCs w:val="32"/>
          <w:highlight w:val="none"/>
          <w:lang w:val="en-US" w:eastAsia="zh-CN"/>
        </w:rPr>
        <w:t>项目</w:t>
      </w:r>
      <w:r>
        <w:rPr>
          <w:rFonts w:hint="eastAsia" w:ascii="宋体" w:hAnsi="宋体" w:cs="宋体"/>
          <w:b/>
          <w:sz w:val="32"/>
          <w:szCs w:val="32"/>
          <w:highlight w:val="none"/>
        </w:rPr>
        <w:t>编号：</w:t>
      </w:r>
      <w:r>
        <w:rPr>
          <w:rFonts w:hint="eastAsia" w:ascii="宋体" w:hAnsi="宋体" w:cs="宋体"/>
          <w:b/>
          <w:bCs/>
          <w:spacing w:val="40"/>
          <w:sz w:val="32"/>
          <w:szCs w:val="32"/>
          <w:highlight w:val="none"/>
          <w:lang w:eastAsia="zh-CN"/>
        </w:rPr>
        <w:t>GLJSXY</w:t>
      </w:r>
      <w:r>
        <w:rPr>
          <w:rFonts w:hint="eastAsia" w:ascii="宋体" w:hAnsi="宋体" w:cs="宋体"/>
          <w:b/>
          <w:bCs/>
          <w:spacing w:val="40"/>
          <w:sz w:val="32"/>
          <w:szCs w:val="32"/>
          <w:highlight w:val="none"/>
          <w:lang w:val="en-US" w:eastAsia="zh-CN"/>
        </w:rPr>
        <w:t>202602</w:t>
      </w:r>
    </w:p>
    <w:p w14:paraId="270E0457">
      <w:pPr>
        <w:ind w:left="103" w:leftChars="49" w:firstLine="2249" w:firstLineChars="700"/>
        <w:jc w:val="center"/>
        <w:rPr>
          <w:rFonts w:ascii="宋体" w:hAnsi="宋体" w:cs="宋体"/>
          <w:b/>
          <w:bCs/>
          <w:kern w:val="2"/>
          <w:sz w:val="32"/>
          <w:highlight w:val="none"/>
        </w:rPr>
      </w:pPr>
    </w:p>
    <w:p w14:paraId="2D395235">
      <w:pPr>
        <w:ind w:left="103" w:leftChars="49" w:firstLine="2249" w:firstLineChars="700"/>
        <w:jc w:val="center"/>
        <w:rPr>
          <w:rFonts w:ascii="宋体" w:hAnsi="宋体" w:cs="宋体"/>
          <w:b/>
          <w:bCs/>
          <w:kern w:val="2"/>
          <w:sz w:val="32"/>
          <w:highlight w:val="none"/>
        </w:rPr>
      </w:pPr>
    </w:p>
    <w:p w14:paraId="50949A46">
      <w:pPr>
        <w:ind w:left="103" w:leftChars="49" w:firstLine="2249" w:firstLineChars="700"/>
        <w:jc w:val="center"/>
        <w:rPr>
          <w:rFonts w:ascii="宋体" w:hAnsi="宋体" w:cs="宋体"/>
          <w:b/>
          <w:bCs/>
          <w:kern w:val="2"/>
          <w:sz w:val="32"/>
          <w:highlight w:val="none"/>
        </w:rPr>
      </w:pPr>
    </w:p>
    <w:p w14:paraId="10E744CF">
      <w:pPr>
        <w:pStyle w:val="37"/>
        <w:rPr>
          <w:rFonts w:ascii="宋体" w:hAnsi="宋体" w:cs="宋体"/>
          <w:b/>
          <w:bCs/>
          <w:kern w:val="2"/>
          <w:sz w:val="32"/>
          <w:highlight w:val="none"/>
        </w:rPr>
      </w:pPr>
    </w:p>
    <w:p w14:paraId="1B30A0F4">
      <w:pPr>
        <w:ind w:firstLine="4176" w:firstLineChars="1300"/>
        <w:rPr>
          <w:rFonts w:ascii="宋体" w:hAnsi="宋体" w:cs="宋体"/>
          <w:b/>
          <w:bCs/>
          <w:sz w:val="32"/>
          <w:highlight w:val="none"/>
        </w:rPr>
      </w:pPr>
      <w:r>
        <w:rPr>
          <w:rFonts w:hint="eastAsia" w:ascii="宋体" w:hAnsi="宋体" w:cs="宋体"/>
          <w:b/>
          <w:bCs/>
          <w:kern w:val="2"/>
          <w:sz w:val="32"/>
          <w:highlight w:val="none"/>
        </w:rPr>
        <w:t>202</w:t>
      </w:r>
      <w:r>
        <w:rPr>
          <w:rFonts w:hint="eastAsia" w:ascii="宋体" w:hAnsi="宋体" w:cs="宋体"/>
          <w:b/>
          <w:bCs/>
          <w:kern w:val="2"/>
          <w:sz w:val="32"/>
          <w:highlight w:val="none"/>
          <w:lang w:val="en-US" w:eastAsia="zh-CN"/>
        </w:rPr>
        <w:t>6</w:t>
      </w:r>
      <w:r>
        <w:rPr>
          <w:rFonts w:hint="eastAsia" w:ascii="宋体" w:hAnsi="宋体" w:cs="宋体"/>
          <w:b/>
          <w:bCs/>
          <w:kern w:val="2"/>
          <w:sz w:val="32"/>
          <w:highlight w:val="none"/>
        </w:rPr>
        <w:t>年</w:t>
      </w:r>
      <w:r>
        <w:rPr>
          <w:rFonts w:hint="eastAsia" w:ascii="宋体" w:hAnsi="宋体" w:cs="宋体"/>
          <w:b/>
          <w:kern w:val="2"/>
          <w:sz w:val="32"/>
          <w:szCs w:val="32"/>
          <w:highlight w:val="none"/>
          <w:lang w:val="en-US" w:eastAsia="zh-CN"/>
        </w:rPr>
        <w:t>5</w:t>
      </w:r>
      <w:r>
        <w:rPr>
          <w:rFonts w:hint="eastAsia" w:ascii="宋体" w:hAnsi="宋体" w:cs="宋体"/>
          <w:b/>
          <w:bCs/>
          <w:kern w:val="2"/>
          <w:sz w:val="32"/>
          <w:highlight w:val="none"/>
        </w:rPr>
        <w:t xml:space="preserve">月 </w:t>
      </w:r>
    </w:p>
    <w:p w14:paraId="505CC36B">
      <w:pPr>
        <w:spacing w:line="440" w:lineRule="exact"/>
        <w:rPr>
          <w:rFonts w:ascii="宋体" w:hAnsi="宋体" w:cs="宋体"/>
          <w:b/>
          <w:kern w:val="1"/>
          <w:sz w:val="32"/>
          <w:szCs w:val="32"/>
          <w:highlight w:val="none"/>
        </w:rPr>
      </w:pPr>
    </w:p>
    <w:p w14:paraId="6C02C220">
      <w:pPr>
        <w:spacing w:line="440" w:lineRule="exact"/>
        <w:rPr>
          <w:rFonts w:ascii="宋体" w:hAnsi="宋体" w:cs="宋体"/>
          <w:b/>
          <w:color w:val="auto"/>
          <w:kern w:val="1"/>
          <w:sz w:val="32"/>
          <w:szCs w:val="32"/>
          <w:highlight w:val="none"/>
        </w:rPr>
        <w:sectPr>
          <w:headerReference r:id="rId4" w:type="first"/>
          <w:headerReference r:id="rId3" w:type="default"/>
          <w:footerReference r:id="rId5" w:type="default"/>
          <w:pgSz w:w="11906" w:h="16838"/>
          <w:pgMar w:top="1418" w:right="1134" w:bottom="1418" w:left="1134" w:header="851" w:footer="992" w:gutter="0"/>
          <w:pgNumType w:fmt="decimal" w:start="1"/>
          <w:cols w:space="720" w:num="1"/>
        </w:sectPr>
      </w:pPr>
    </w:p>
    <w:p w14:paraId="1260328F">
      <w:pPr>
        <w:pStyle w:val="14"/>
        <w:snapToGrid w:val="0"/>
        <w:spacing w:line="360" w:lineRule="auto"/>
        <w:jc w:val="center"/>
        <w:rPr>
          <w:rFonts w:hint="eastAsia" w:hAnsi="宋体"/>
          <w:color w:val="auto"/>
          <w:sz w:val="44"/>
          <w:highlight w:val="none"/>
        </w:rPr>
      </w:pPr>
      <w:r>
        <w:rPr>
          <w:rFonts w:hint="eastAsia" w:hAnsi="宋体"/>
          <w:color w:val="auto"/>
          <w:sz w:val="44"/>
          <w:highlight w:val="none"/>
        </w:rPr>
        <w:t>目  录</w:t>
      </w:r>
    </w:p>
    <w:p w14:paraId="42589C1B">
      <w:pPr>
        <w:pStyle w:val="14"/>
        <w:snapToGrid w:val="0"/>
        <w:spacing w:line="360" w:lineRule="auto"/>
        <w:jc w:val="center"/>
        <w:rPr>
          <w:rFonts w:hint="eastAsia" w:hAnsi="宋体"/>
          <w:color w:val="auto"/>
          <w:sz w:val="44"/>
          <w:highlight w:val="none"/>
        </w:rPr>
      </w:pPr>
    </w:p>
    <w:p w14:paraId="351B5EE1">
      <w:pPr>
        <w:pStyle w:val="14"/>
        <w:spacing w:line="480" w:lineRule="auto"/>
        <w:ind w:firstLine="412"/>
        <w:rPr>
          <w:rFonts w:hint="default"/>
          <w:color w:val="auto"/>
          <w:highlight w:val="none"/>
          <w:lang w:val="en-US" w:eastAsia="zh-CN"/>
        </w:rPr>
      </w:pPr>
      <w:r>
        <w:rPr>
          <w:rFonts w:hint="eastAsia" w:hAnsi="宋体"/>
          <w:color w:val="auto"/>
          <w:sz w:val="32"/>
          <w:highlight w:val="none"/>
        </w:rPr>
        <w:t>第一章：</w:t>
      </w:r>
      <w:r>
        <w:rPr>
          <w:rFonts w:hint="eastAsia"/>
          <w:color w:val="auto"/>
          <w:sz w:val="32"/>
          <w:highlight w:val="none"/>
          <w:lang w:val="en-US" w:eastAsia="zh-CN"/>
        </w:rPr>
        <w:t>招标</w:t>
      </w:r>
      <w:r>
        <w:rPr>
          <w:rFonts w:hint="eastAsia" w:hAnsi="宋体"/>
          <w:color w:val="auto"/>
          <w:sz w:val="32"/>
          <w:highlight w:val="none"/>
        </w:rPr>
        <w:t>公告</w:t>
      </w:r>
      <w:r>
        <w:rPr>
          <w:rFonts w:hint="eastAsia" w:hAnsi="宋体"/>
          <w:color w:val="auto"/>
          <w:sz w:val="32"/>
          <w:highlight w:val="none"/>
          <w:lang w:val="en-US" w:eastAsia="zh-CN"/>
        </w:rPr>
        <w:t xml:space="preserve">  </w:t>
      </w:r>
      <w:r>
        <w:rPr>
          <w:rFonts w:hint="eastAsia"/>
          <w:color w:val="auto"/>
          <w:sz w:val="32"/>
          <w:highlight w:val="none"/>
          <w:lang w:val="en-US" w:eastAsia="zh-CN"/>
        </w:rPr>
        <w:t xml:space="preserve">  .. </w:t>
      </w:r>
      <w:r>
        <w:rPr>
          <w:rFonts w:hint="eastAsia" w:hAnsi="宋体"/>
          <w:color w:val="auto"/>
          <w:sz w:val="32"/>
          <w:highlight w:val="none"/>
        </w:rPr>
        <w:t>...</w:t>
      </w:r>
      <w:r>
        <w:rPr>
          <w:rFonts w:hint="eastAsia"/>
          <w:color w:val="auto"/>
          <w:sz w:val="32"/>
          <w:highlight w:val="none"/>
          <w:lang w:val="en-US" w:eastAsia="zh-CN"/>
        </w:rPr>
        <w:t>.</w:t>
      </w:r>
      <w:r>
        <w:rPr>
          <w:rFonts w:hint="eastAsia" w:hAnsi="宋体"/>
          <w:color w:val="auto"/>
          <w:sz w:val="32"/>
          <w:highlight w:val="none"/>
        </w:rPr>
        <w:t>...........</w:t>
      </w:r>
      <w:r>
        <w:rPr>
          <w:rFonts w:hint="eastAsia"/>
          <w:color w:val="auto"/>
          <w:sz w:val="32"/>
          <w:highlight w:val="none"/>
          <w:lang w:val="en-US" w:eastAsia="zh-CN"/>
        </w:rPr>
        <w:t>....</w:t>
      </w:r>
      <w:r>
        <w:rPr>
          <w:rFonts w:hint="eastAsia" w:hAnsi="宋体"/>
          <w:color w:val="auto"/>
          <w:sz w:val="32"/>
          <w:highlight w:val="none"/>
        </w:rPr>
        <w:t>.........</w:t>
      </w:r>
      <w:r>
        <w:rPr>
          <w:rFonts w:hint="eastAsia"/>
          <w:color w:val="auto"/>
          <w:sz w:val="32"/>
          <w:highlight w:val="none"/>
          <w:lang w:val="en-US" w:eastAsia="zh-CN"/>
        </w:rPr>
        <w:t xml:space="preserve"> 3</w:t>
      </w:r>
    </w:p>
    <w:p w14:paraId="6FDD0A06">
      <w:pPr>
        <w:pStyle w:val="14"/>
        <w:spacing w:line="480" w:lineRule="auto"/>
        <w:ind w:left="409"/>
        <w:rPr>
          <w:rFonts w:hint="eastAsia"/>
          <w:color w:val="auto"/>
          <w:sz w:val="32"/>
          <w:highlight w:val="none"/>
          <w:lang w:val="en-US" w:eastAsia="zh-CN"/>
        </w:rPr>
      </w:pPr>
      <w:r>
        <w:rPr>
          <w:rFonts w:hint="eastAsia" w:hAnsi="宋体"/>
          <w:color w:val="auto"/>
          <w:sz w:val="32"/>
          <w:highlight w:val="none"/>
        </w:rPr>
        <w:t>第</w:t>
      </w:r>
      <w:r>
        <w:rPr>
          <w:rFonts w:hint="eastAsia"/>
          <w:color w:val="auto"/>
          <w:sz w:val="32"/>
          <w:highlight w:val="none"/>
          <w:lang w:val="en-US" w:eastAsia="zh-CN"/>
        </w:rPr>
        <w:t>二</w:t>
      </w:r>
      <w:r>
        <w:rPr>
          <w:rFonts w:hint="eastAsia" w:hAnsi="宋体"/>
          <w:color w:val="auto"/>
          <w:sz w:val="32"/>
          <w:highlight w:val="none"/>
        </w:rPr>
        <w:t>章：</w:t>
      </w:r>
      <w:r>
        <w:rPr>
          <w:rFonts w:hint="eastAsia"/>
          <w:color w:val="auto"/>
          <w:sz w:val="32"/>
          <w:highlight w:val="none"/>
          <w:lang w:val="en-US" w:eastAsia="zh-CN"/>
        </w:rPr>
        <w:t xml:space="preserve">投标须知   </w:t>
      </w:r>
      <w:r>
        <w:rPr>
          <w:rFonts w:hint="eastAsia" w:hAnsi="宋体"/>
          <w:color w:val="auto"/>
          <w:sz w:val="32"/>
          <w:highlight w:val="none"/>
        </w:rPr>
        <w:t>...................</w:t>
      </w:r>
      <w:r>
        <w:rPr>
          <w:rFonts w:hint="eastAsia"/>
          <w:color w:val="auto"/>
          <w:sz w:val="32"/>
          <w:highlight w:val="none"/>
          <w:lang w:val="en-US" w:eastAsia="zh-CN"/>
        </w:rPr>
        <w:t>.....</w:t>
      </w:r>
      <w:r>
        <w:rPr>
          <w:rFonts w:hint="eastAsia" w:hAnsi="宋体"/>
          <w:color w:val="auto"/>
          <w:sz w:val="32"/>
          <w:highlight w:val="none"/>
        </w:rPr>
        <w:t>.........</w:t>
      </w:r>
      <w:r>
        <w:rPr>
          <w:rFonts w:hint="eastAsia"/>
          <w:color w:val="auto"/>
          <w:sz w:val="32"/>
          <w:highlight w:val="none"/>
          <w:lang w:val="en-US" w:eastAsia="zh-CN"/>
        </w:rPr>
        <w:t>5</w:t>
      </w:r>
    </w:p>
    <w:p w14:paraId="3ECBBAC2">
      <w:pPr>
        <w:pStyle w:val="14"/>
        <w:numPr>
          <w:ilvl w:val="0"/>
          <w:numId w:val="1"/>
        </w:numPr>
        <w:spacing w:line="480" w:lineRule="auto"/>
        <w:ind w:left="409"/>
        <w:rPr>
          <w:rFonts w:hint="eastAsia"/>
          <w:color w:val="auto"/>
          <w:sz w:val="32"/>
          <w:highlight w:val="none"/>
          <w:lang w:val="en-US" w:eastAsia="zh-CN"/>
        </w:rPr>
      </w:pPr>
      <w:r>
        <w:rPr>
          <w:rFonts w:hint="eastAsia"/>
          <w:color w:val="auto"/>
          <w:sz w:val="32"/>
          <w:highlight w:val="none"/>
          <w:lang w:eastAsia="zh-CN"/>
        </w:rPr>
        <w:t>：</w:t>
      </w:r>
      <w:r>
        <w:rPr>
          <w:rFonts w:hint="eastAsia"/>
          <w:color w:val="auto"/>
          <w:sz w:val="32"/>
          <w:highlight w:val="none"/>
          <w:lang w:val="en-US" w:eastAsia="zh-CN"/>
        </w:rPr>
        <w:t xml:space="preserve">采购需求   </w:t>
      </w:r>
      <w:r>
        <w:rPr>
          <w:rFonts w:hint="eastAsia" w:hAnsi="宋体"/>
          <w:color w:val="auto"/>
          <w:sz w:val="32"/>
          <w:highlight w:val="none"/>
        </w:rPr>
        <w:t>..........</w:t>
      </w:r>
      <w:r>
        <w:rPr>
          <w:rFonts w:hint="eastAsia"/>
          <w:color w:val="auto"/>
          <w:sz w:val="32"/>
          <w:highlight w:val="none"/>
          <w:lang w:val="en-US" w:eastAsia="zh-CN"/>
        </w:rPr>
        <w:t>...............</w:t>
      </w:r>
      <w:r>
        <w:rPr>
          <w:rFonts w:hint="eastAsia" w:hAnsi="宋体"/>
          <w:color w:val="auto"/>
          <w:sz w:val="32"/>
          <w:highlight w:val="none"/>
        </w:rPr>
        <w:t>..</w:t>
      </w:r>
      <w:r>
        <w:rPr>
          <w:rFonts w:hint="eastAsia" w:hAnsi="宋体"/>
          <w:color w:val="auto"/>
          <w:sz w:val="32"/>
          <w:highlight w:val="none"/>
          <w:lang w:val="en-US" w:eastAsia="zh-CN"/>
        </w:rPr>
        <w:t>..</w:t>
      </w:r>
      <w:r>
        <w:rPr>
          <w:rFonts w:hint="eastAsia"/>
          <w:color w:val="auto"/>
          <w:sz w:val="32"/>
          <w:highlight w:val="none"/>
          <w:lang w:val="en-US" w:eastAsia="zh-CN"/>
        </w:rPr>
        <w:t>.</w:t>
      </w:r>
      <w:r>
        <w:rPr>
          <w:rFonts w:hint="eastAsia" w:hAnsi="宋体"/>
          <w:color w:val="auto"/>
          <w:sz w:val="32"/>
          <w:highlight w:val="none"/>
          <w:lang w:val="en-US" w:eastAsia="zh-CN"/>
        </w:rPr>
        <w:t>..</w:t>
      </w:r>
      <w:r>
        <w:rPr>
          <w:rFonts w:hint="eastAsia"/>
          <w:color w:val="auto"/>
          <w:sz w:val="32"/>
          <w:highlight w:val="none"/>
          <w:lang w:val="en-US" w:eastAsia="zh-CN"/>
        </w:rPr>
        <w:t>9</w:t>
      </w:r>
    </w:p>
    <w:p w14:paraId="0F45B191">
      <w:pPr>
        <w:pStyle w:val="14"/>
        <w:spacing w:line="480" w:lineRule="auto"/>
        <w:ind w:left="412" w:leftChars="196"/>
        <w:rPr>
          <w:rFonts w:ascii="宋体" w:hAnsi="宋体" w:cs="宋体"/>
          <w:b/>
          <w:color w:val="auto"/>
          <w:kern w:val="1"/>
          <w:szCs w:val="21"/>
          <w:highlight w:val="none"/>
        </w:rPr>
      </w:pPr>
      <w:r>
        <w:rPr>
          <w:rFonts w:hint="eastAsia" w:hAnsi="宋体"/>
          <w:color w:val="auto"/>
          <w:sz w:val="32"/>
          <w:highlight w:val="none"/>
        </w:rPr>
        <w:t>第</w:t>
      </w:r>
      <w:r>
        <w:rPr>
          <w:rFonts w:hint="eastAsia"/>
          <w:color w:val="auto"/>
          <w:sz w:val="32"/>
          <w:highlight w:val="none"/>
          <w:lang w:val="en-US" w:eastAsia="zh-CN"/>
        </w:rPr>
        <w:t>四</w:t>
      </w:r>
      <w:r>
        <w:rPr>
          <w:rFonts w:hint="eastAsia" w:hAnsi="宋体"/>
          <w:color w:val="auto"/>
          <w:sz w:val="32"/>
          <w:highlight w:val="none"/>
        </w:rPr>
        <w:t>章：</w:t>
      </w:r>
      <w:r>
        <w:rPr>
          <w:rFonts w:hint="eastAsia"/>
          <w:color w:val="auto"/>
          <w:sz w:val="32"/>
          <w:highlight w:val="none"/>
          <w:lang w:eastAsia="zh-CN"/>
        </w:rPr>
        <w:t>响应</w:t>
      </w:r>
      <w:r>
        <w:rPr>
          <w:rFonts w:hint="eastAsia" w:ascii="宋体" w:hAnsi="宋体" w:eastAsia="宋体"/>
          <w:color w:val="auto"/>
          <w:sz w:val="32"/>
          <w:highlight w:val="none"/>
          <w:lang w:eastAsia="zh-CN"/>
        </w:rPr>
        <w:t>文件格式</w:t>
      </w:r>
      <w:r>
        <w:rPr>
          <w:rFonts w:hint="eastAsia" w:hAnsi="宋体"/>
          <w:color w:val="auto"/>
          <w:sz w:val="32"/>
          <w:highlight w:val="none"/>
        </w:rPr>
        <w:t>.........................</w:t>
      </w:r>
      <w:r>
        <w:rPr>
          <w:rFonts w:hint="eastAsia"/>
          <w:color w:val="auto"/>
          <w:sz w:val="32"/>
          <w:highlight w:val="none"/>
          <w:lang w:val="en-US" w:eastAsia="zh-CN"/>
        </w:rPr>
        <w:t>....</w:t>
      </w:r>
      <w:r>
        <w:rPr>
          <w:rFonts w:hint="eastAsia" w:hAnsi="宋体"/>
          <w:color w:val="auto"/>
          <w:sz w:val="32"/>
          <w:highlight w:val="none"/>
        </w:rPr>
        <w:t>...</w:t>
      </w:r>
      <w:r>
        <w:rPr>
          <w:rFonts w:hint="eastAsia"/>
          <w:color w:val="auto"/>
          <w:sz w:val="32"/>
          <w:highlight w:val="none"/>
          <w:lang w:val="en-US" w:eastAsia="zh-CN"/>
        </w:rPr>
        <w:t>10</w:t>
      </w:r>
    </w:p>
    <w:p w14:paraId="7F77BFBB">
      <w:pPr>
        <w:pStyle w:val="14"/>
        <w:spacing w:line="480" w:lineRule="auto"/>
        <w:ind w:left="412" w:leftChars="196"/>
        <w:rPr>
          <w:rFonts w:hint="default" w:hAnsi="宋体"/>
          <w:color w:val="auto"/>
          <w:sz w:val="32"/>
          <w:highlight w:val="none"/>
          <w:lang w:val="en-US"/>
        </w:rPr>
      </w:pPr>
      <w:r>
        <w:rPr>
          <w:rFonts w:hint="eastAsia" w:hAnsi="宋体"/>
          <w:color w:val="auto"/>
          <w:sz w:val="32"/>
          <w:highlight w:val="none"/>
        </w:rPr>
        <w:t>第</w:t>
      </w:r>
      <w:r>
        <w:rPr>
          <w:rFonts w:hint="eastAsia"/>
          <w:color w:val="auto"/>
          <w:sz w:val="32"/>
          <w:highlight w:val="none"/>
          <w:lang w:val="en-US" w:eastAsia="zh-CN"/>
        </w:rPr>
        <w:t>五</w:t>
      </w:r>
      <w:r>
        <w:rPr>
          <w:rFonts w:hint="eastAsia" w:hAnsi="宋体"/>
          <w:color w:val="auto"/>
          <w:sz w:val="32"/>
          <w:highlight w:val="none"/>
        </w:rPr>
        <w:t>章：</w:t>
      </w:r>
      <w:r>
        <w:rPr>
          <w:rFonts w:hint="eastAsia" w:hAnsi="宋体"/>
          <w:color w:val="auto"/>
          <w:sz w:val="32"/>
          <w:highlight w:val="none"/>
          <w:lang w:eastAsia="zh-CN"/>
        </w:rPr>
        <w:t>合同主要条款</w:t>
      </w:r>
      <w:r>
        <w:rPr>
          <w:rFonts w:hint="eastAsia"/>
          <w:color w:val="auto"/>
          <w:sz w:val="32"/>
          <w:highlight w:val="none"/>
          <w:lang w:val="en-US" w:eastAsia="zh-CN"/>
        </w:rPr>
        <w:t xml:space="preserve"> </w:t>
      </w:r>
      <w:r>
        <w:rPr>
          <w:rFonts w:hint="eastAsia" w:hAnsi="宋体"/>
          <w:color w:val="auto"/>
          <w:sz w:val="32"/>
          <w:highlight w:val="none"/>
        </w:rPr>
        <w:t>...............................</w:t>
      </w:r>
      <w:r>
        <w:rPr>
          <w:rFonts w:hint="eastAsia"/>
          <w:color w:val="auto"/>
          <w:sz w:val="32"/>
          <w:highlight w:val="none"/>
          <w:lang w:val="en-US" w:eastAsia="zh-CN"/>
        </w:rPr>
        <w:t>16</w:t>
      </w:r>
    </w:p>
    <w:p w14:paraId="3DC8ADCE">
      <w:pPr>
        <w:tabs>
          <w:tab w:val="left" w:pos="8460"/>
          <w:tab w:val="left" w:pos="8820"/>
        </w:tabs>
        <w:spacing w:line="440" w:lineRule="exact"/>
        <w:rPr>
          <w:rFonts w:ascii="宋体" w:hAnsi="宋体" w:cs="宋体"/>
          <w:b/>
          <w:color w:val="auto"/>
          <w:kern w:val="1"/>
          <w:szCs w:val="21"/>
          <w:highlight w:val="none"/>
        </w:rPr>
      </w:pPr>
    </w:p>
    <w:p w14:paraId="0107FCD2">
      <w:pPr>
        <w:tabs>
          <w:tab w:val="left" w:pos="8460"/>
          <w:tab w:val="left" w:pos="8820"/>
        </w:tabs>
        <w:spacing w:line="440" w:lineRule="exact"/>
        <w:rPr>
          <w:rFonts w:ascii="宋体" w:hAnsi="宋体" w:cs="宋体"/>
          <w:b/>
          <w:color w:val="auto"/>
          <w:kern w:val="1"/>
          <w:szCs w:val="21"/>
          <w:highlight w:val="none"/>
        </w:rPr>
      </w:pPr>
    </w:p>
    <w:p w14:paraId="4BB384F0">
      <w:pPr>
        <w:tabs>
          <w:tab w:val="left" w:pos="8460"/>
          <w:tab w:val="left" w:pos="8820"/>
        </w:tabs>
        <w:spacing w:line="440" w:lineRule="exact"/>
        <w:rPr>
          <w:rFonts w:ascii="宋体" w:hAnsi="宋体" w:cs="宋体"/>
          <w:b/>
          <w:color w:val="auto"/>
          <w:kern w:val="1"/>
          <w:szCs w:val="21"/>
          <w:highlight w:val="none"/>
        </w:rPr>
      </w:pPr>
    </w:p>
    <w:p w14:paraId="76E634AB">
      <w:pPr>
        <w:tabs>
          <w:tab w:val="left" w:pos="8460"/>
          <w:tab w:val="left" w:pos="8820"/>
        </w:tabs>
        <w:spacing w:line="440" w:lineRule="exact"/>
        <w:rPr>
          <w:rFonts w:ascii="宋体" w:hAnsi="宋体" w:cs="宋体"/>
          <w:b/>
          <w:color w:val="auto"/>
          <w:kern w:val="1"/>
          <w:szCs w:val="21"/>
          <w:highlight w:val="none"/>
        </w:rPr>
      </w:pPr>
    </w:p>
    <w:p w14:paraId="70F21D45">
      <w:pPr>
        <w:tabs>
          <w:tab w:val="left" w:pos="8460"/>
          <w:tab w:val="left" w:pos="8820"/>
        </w:tabs>
        <w:spacing w:line="440" w:lineRule="exact"/>
        <w:rPr>
          <w:rFonts w:ascii="宋体" w:hAnsi="宋体" w:cs="宋体"/>
          <w:b/>
          <w:color w:val="auto"/>
          <w:kern w:val="1"/>
          <w:szCs w:val="21"/>
          <w:highlight w:val="none"/>
        </w:rPr>
      </w:pPr>
    </w:p>
    <w:p w14:paraId="2561FE70">
      <w:pPr>
        <w:pStyle w:val="14"/>
        <w:jc w:val="center"/>
        <w:rPr>
          <w:rFonts w:hint="eastAsia" w:ascii="宋体" w:hAnsi="宋体"/>
          <w:b/>
          <w:color w:val="auto"/>
          <w:sz w:val="30"/>
          <w:szCs w:val="30"/>
          <w:highlight w:val="none"/>
        </w:rPr>
      </w:pPr>
      <w:r>
        <w:rPr>
          <w:rFonts w:hint="eastAsia" w:ascii="宋体" w:hAnsi="宋体" w:cs="宋体"/>
          <w:color w:val="auto"/>
          <w:szCs w:val="32"/>
          <w:highlight w:val="none"/>
        </w:rPr>
        <w:br w:type="page"/>
      </w:r>
      <w:r>
        <w:rPr>
          <w:rFonts w:hint="eastAsia"/>
          <w:b/>
          <w:color w:val="auto"/>
          <w:sz w:val="32"/>
          <w:highlight w:val="none"/>
        </w:rPr>
        <w:t>第一章</w:t>
      </w:r>
      <w:r>
        <w:rPr>
          <w:rFonts w:hint="eastAsia"/>
          <w:b/>
          <w:color w:val="auto"/>
          <w:sz w:val="32"/>
          <w:highlight w:val="none"/>
          <w:lang w:val="en-US" w:eastAsia="zh-CN"/>
        </w:rPr>
        <w:t xml:space="preserve">     </w:t>
      </w:r>
      <w:r>
        <w:rPr>
          <w:rFonts w:hint="eastAsia"/>
          <w:b/>
          <w:color w:val="auto"/>
          <w:sz w:val="30"/>
          <w:szCs w:val="30"/>
          <w:highlight w:val="none"/>
          <w:lang w:val="en-US" w:eastAsia="zh-CN"/>
        </w:rPr>
        <w:t>招标</w:t>
      </w:r>
      <w:r>
        <w:rPr>
          <w:rFonts w:hint="eastAsia" w:ascii="宋体" w:hAnsi="宋体"/>
          <w:b/>
          <w:color w:val="auto"/>
          <w:sz w:val="30"/>
          <w:szCs w:val="30"/>
          <w:highlight w:val="none"/>
        </w:rPr>
        <w:t>公告</w:t>
      </w:r>
    </w:p>
    <w:p w14:paraId="7985CCFE">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项目概况：</w:t>
      </w:r>
      <w:r>
        <w:rPr>
          <w:rFonts w:hint="eastAsia" w:hAnsi="宋体" w:cs="Times New Roman"/>
          <w:color w:val="auto"/>
          <w:kern w:val="1"/>
          <w:sz w:val="21"/>
          <w:szCs w:val="21"/>
          <w:highlight w:val="none"/>
          <w:lang w:val="en-US" w:eastAsia="zh-CN" w:bidi="ar-SA"/>
        </w:rPr>
        <w:t>桂林技师学院全自动体外除颤仪（AED）采购公开招标</w:t>
      </w:r>
      <w:r>
        <w:rPr>
          <w:rFonts w:hint="eastAsia" w:ascii="宋体" w:hAnsi="宋体" w:eastAsia="宋体" w:cs="Times New Roman"/>
          <w:color w:val="auto"/>
          <w:kern w:val="1"/>
          <w:sz w:val="21"/>
          <w:szCs w:val="21"/>
          <w:highlight w:val="none"/>
          <w:lang w:val="en-US" w:eastAsia="zh-CN" w:bidi="ar-SA"/>
        </w:rPr>
        <w:t>，项目的潜在供应商应于</w:t>
      </w:r>
      <w:r>
        <w:rPr>
          <w:rFonts w:hint="eastAsia" w:hAnsi="宋体" w:cs="Times New Roman"/>
          <w:color w:val="auto"/>
          <w:kern w:val="1"/>
          <w:sz w:val="21"/>
          <w:szCs w:val="21"/>
          <w:highlight w:val="none"/>
          <w:lang w:val="en-US" w:eastAsia="zh-CN" w:bidi="ar-SA"/>
        </w:rPr>
        <w:t>2026年5月22日9时00分</w:t>
      </w:r>
      <w:r>
        <w:rPr>
          <w:rFonts w:hint="eastAsia" w:ascii="宋体" w:hAnsi="宋体" w:eastAsia="宋体" w:cs="Times New Roman"/>
          <w:color w:val="auto"/>
          <w:kern w:val="1"/>
          <w:sz w:val="21"/>
          <w:szCs w:val="21"/>
          <w:highlight w:val="none"/>
          <w:lang w:val="en-US" w:eastAsia="zh-CN" w:bidi="ar-SA"/>
        </w:rPr>
        <w:t>（北京时间）前，递交响应文件。</w:t>
      </w:r>
    </w:p>
    <w:p w14:paraId="2D50BA13">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eastAsia" w:ascii="宋体" w:hAnsi="宋体" w:eastAsia="宋体" w:cs="Times New Roman"/>
          <w:b/>
          <w:bCs/>
          <w:color w:val="auto"/>
          <w:kern w:val="1"/>
          <w:sz w:val="21"/>
          <w:szCs w:val="21"/>
          <w:highlight w:val="none"/>
          <w:lang w:val="en-US" w:eastAsia="zh-CN" w:bidi="ar-SA"/>
        </w:rPr>
      </w:pPr>
      <w:r>
        <w:rPr>
          <w:rFonts w:hint="eastAsia" w:ascii="宋体" w:hAnsi="宋体" w:eastAsia="宋体" w:cs="Times New Roman"/>
          <w:b/>
          <w:bCs/>
          <w:color w:val="auto"/>
          <w:kern w:val="1"/>
          <w:sz w:val="21"/>
          <w:szCs w:val="21"/>
          <w:highlight w:val="none"/>
          <w:lang w:val="en-US" w:eastAsia="zh-CN" w:bidi="ar-SA"/>
        </w:rPr>
        <w:t>一、项目基本情况</w:t>
      </w:r>
    </w:p>
    <w:p w14:paraId="1FF3B8D1">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hAnsi="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1.项目编号：GLJSXY</w:t>
      </w:r>
      <w:r>
        <w:rPr>
          <w:rFonts w:hint="eastAsia" w:hAnsi="宋体" w:cs="Times New Roman"/>
          <w:color w:val="auto"/>
          <w:kern w:val="1"/>
          <w:sz w:val="21"/>
          <w:szCs w:val="21"/>
          <w:highlight w:val="none"/>
          <w:lang w:val="en-US" w:eastAsia="zh-CN" w:bidi="ar-SA"/>
        </w:rPr>
        <w:t>202602</w:t>
      </w:r>
    </w:p>
    <w:p w14:paraId="1720B383">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2.项目名称：</w:t>
      </w:r>
      <w:r>
        <w:rPr>
          <w:rFonts w:hint="eastAsia" w:hAnsi="宋体" w:cs="Times New Roman"/>
          <w:color w:val="auto"/>
          <w:kern w:val="1"/>
          <w:sz w:val="21"/>
          <w:szCs w:val="21"/>
          <w:highlight w:val="none"/>
          <w:lang w:val="en-US" w:eastAsia="zh-CN" w:bidi="ar-SA"/>
        </w:rPr>
        <w:t>桂林技师学院全自动体外除颤仪（AED）2台及配套电池电极片、AED壁挂箱2个采购。</w:t>
      </w:r>
    </w:p>
    <w:p w14:paraId="4E591501">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4.资金来源：自筹资金</w:t>
      </w:r>
    </w:p>
    <w:p w14:paraId="3EBFEBB9">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eastAsia" w:ascii="宋体" w:hAnsi="宋体" w:eastAsia="宋体" w:cs="Times New Roman"/>
          <w:b/>
          <w:bCs/>
          <w:color w:val="auto"/>
          <w:kern w:val="1"/>
          <w:sz w:val="21"/>
          <w:szCs w:val="21"/>
          <w:highlight w:val="none"/>
          <w:lang w:val="en-US" w:eastAsia="zh-CN" w:bidi="ar-SA"/>
        </w:rPr>
      </w:pPr>
      <w:r>
        <w:rPr>
          <w:rFonts w:hint="eastAsia" w:ascii="宋体" w:hAnsi="宋体" w:eastAsia="宋体" w:cs="Times New Roman"/>
          <w:b/>
          <w:bCs/>
          <w:color w:val="auto"/>
          <w:kern w:val="1"/>
          <w:sz w:val="21"/>
          <w:szCs w:val="21"/>
          <w:highlight w:val="none"/>
          <w:lang w:val="en-US" w:eastAsia="zh-CN" w:bidi="ar-SA"/>
        </w:rPr>
        <w:t>二、项目概况与范围</w:t>
      </w:r>
    </w:p>
    <w:p w14:paraId="41979A8E">
      <w:pPr>
        <w:pStyle w:val="14"/>
        <w:spacing w:line="440" w:lineRule="exact"/>
        <w:ind w:firstLine="420" w:firstLineChars="200"/>
        <w:rPr>
          <w:rFonts w:hint="eastAsia" w:ascii="宋体" w:hAnsi="宋体" w:eastAsia="宋体" w:cs="Times New Roman"/>
          <w:strike/>
          <w:dstrike w:val="0"/>
          <w:color w:val="000000" w:themeColor="text1"/>
          <w:kern w:val="1"/>
          <w:sz w:val="21"/>
          <w:szCs w:val="21"/>
          <w:highlight w:val="none"/>
          <w:lang w:val="en-US" w:eastAsia="zh-CN" w:bidi="ar-SA"/>
          <w14:textFill>
            <w14:solidFill>
              <w14:schemeClr w14:val="tx1"/>
            </w14:solidFill>
          </w14:textFill>
        </w:rPr>
      </w:pPr>
      <w:r>
        <w:rPr>
          <w:rFonts w:hint="eastAsia" w:hAnsi="宋体" w:cs="Times New Roman"/>
          <w:color w:val="auto"/>
          <w:kern w:val="1"/>
          <w:sz w:val="21"/>
          <w:szCs w:val="21"/>
          <w:highlight w:val="none"/>
          <w:lang w:val="en-US" w:eastAsia="zh-CN" w:bidi="ar-SA"/>
        </w:rPr>
        <w:t>1</w:t>
      </w:r>
      <w:r>
        <w:rPr>
          <w:rFonts w:hint="eastAsia" w:ascii="宋体" w:hAnsi="宋体" w:eastAsia="宋体" w:cs="Times New Roman"/>
          <w:color w:val="auto"/>
          <w:kern w:val="1"/>
          <w:sz w:val="21"/>
          <w:szCs w:val="21"/>
          <w:highlight w:val="none"/>
          <w:lang w:val="en-US" w:eastAsia="zh-CN" w:bidi="ar-SA"/>
        </w:rPr>
        <w:t>.</w:t>
      </w:r>
      <w:r>
        <w:rPr>
          <w:rFonts w:hint="eastAsia" w:hAnsi="宋体" w:cs="Times New Roman"/>
          <w:color w:val="auto"/>
          <w:kern w:val="1"/>
          <w:sz w:val="21"/>
          <w:szCs w:val="21"/>
          <w:highlight w:val="none"/>
          <w:lang w:val="en-US" w:eastAsia="zh-CN" w:bidi="ar-SA"/>
        </w:rPr>
        <w:t>预算金额</w:t>
      </w:r>
      <w:r>
        <w:rPr>
          <w:rFonts w:hint="eastAsia" w:ascii="宋体" w:hAnsi="宋体" w:eastAsia="宋体" w:cs="Times New Roman"/>
          <w:color w:val="000000" w:themeColor="text1"/>
          <w:kern w:val="1"/>
          <w:sz w:val="21"/>
          <w:szCs w:val="21"/>
          <w:highlight w:val="none"/>
          <w:lang w:val="en-US" w:eastAsia="zh-CN" w:bidi="ar-SA"/>
          <w14:textFill>
            <w14:solidFill>
              <w14:schemeClr w14:val="tx1"/>
            </w14:solidFill>
          </w14:textFill>
        </w:rPr>
        <w:t>：</w:t>
      </w:r>
      <w:r>
        <w:rPr>
          <w:rFonts w:hint="eastAsia" w:ascii="宋体" w:cs="宋体"/>
          <w:bCs/>
          <w:color w:val="000000" w:themeColor="text1"/>
          <w:sz w:val="21"/>
          <w:szCs w:val="21"/>
          <w:highlight w:val="none"/>
          <w14:textFill>
            <w14:solidFill>
              <w14:schemeClr w14:val="tx1"/>
            </w14:solidFill>
          </w14:textFill>
        </w:rPr>
        <w:t>￥</w:t>
      </w:r>
      <w:r>
        <w:rPr>
          <w:rFonts w:hint="eastAsia" w:cs="宋体"/>
          <w:bCs/>
          <w:color w:val="000000" w:themeColor="text1"/>
          <w:sz w:val="21"/>
          <w:szCs w:val="21"/>
          <w:highlight w:val="none"/>
          <w:lang w:val="en-US" w:eastAsia="zh-CN"/>
          <w14:textFill>
            <w14:solidFill>
              <w14:schemeClr w14:val="tx1"/>
            </w14:solidFill>
          </w14:textFill>
        </w:rPr>
        <w:t>25</w:t>
      </w:r>
      <w:r>
        <w:rPr>
          <w:rFonts w:hint="eastAsia" w:ascii="宋体" w:cs="宋体"/>
          <w:bCs/>
          <w:color w:val="000000" w:themeColor="text1"/>
          <w:sz w:val="21"/>
          <w:szCs w:val="21"/>
          <w:highlight w:val="none"/>
          <w14:textFill>
            <w14:solidFill>
              <w14:schemeClr w14:val="tx1"/>
            </w14:solidFill>
          </w14:textFill>
        </w:rPr>
        <w:t>000.00</w:t>
      </w:r>
      <w:r>
        <w:rPr>
          <w:rFonts w:hint="eastAsia" w:cs="宋体"/>
          <w:bCs/>
          <w:color w:val="000000" w:themeColor="text1"/>
          <w:sz w:val="21"/>
          <w:szCs w:val="21"/>
          <w:highlight w:val="none"/>
          <w:lang w:eastAsia="zh-CN"/>
          <w14:textFill>
            <w14:solidFill>
              <w14:schemeClr w14:val="tx1"/>
            </w14:solidFill>
          </w14:textFill>
        </w:rPr>
        <w:t>（大写人民币：</w:t>
      </w:r>
      <w:r>
        <w:rPr>
          <w:rFonts w:hint="eastAsia" w:cs="宋体"/>
          <w:bCs/>
          <w:color w:val="000000" w:themeColor="text1"/>
          <w:sz w:val="21"/>
          <w:szCs w:val="21"/>
          <w:highlight w:val="none"/>
          <w:lang w:val="en-US" w:eastAsia="zh-CN"/>
          <w14:textFill>
            <w14:solidFill>
              <w14:schemeClr w14:val="tx1"/>
            </w14:solidFill>
          </w14:textFill>
        </w:rPr>
        <w:t>贰</w:t>
      </w:r>
      <w:r>
        <w:rPr>
          <w:rFonts w:hint="eastAsia" w:cs="宋体"/>
          <w:bCs/>
          <w:color w:val="000000" w:themeColor="text1"/>
          <w:sz w:val="21"/>
          <w:szCs w:val="21"/>
          <w:highlight w:val="none"/>
          <w:lang w:eastAsia="zh-CN"/>
          <w14:textFill>
            <w14:solidFill>
              <w14:schemeClr w14:val="tx1"/>
            </w14:solidFill>
          </w14:textFill>
        </w:rPr>
        <w:t>万</w:t>
      </w:r>
      <w:r>
        <w:rPr>
          <w:rFonts w:hint="eastAsia" w:cs="宋体"/>
          <w:bCs/>
          <w:color w:val="000000" w:themeColor="text1"/>
          <w:sz w:val="21"/>
          <w:szCs w:val="21"/>
          <w:highlight w:val="none"/>
          <w:lang w:val="en-US" w:eastAsia="zh-CN"/>
          <w14:textFill>
            <w14:solidFill>
              <w14:schemeClr w14:val="tx1"/>
            </w14:solidFill>
          </w14:textFill>
        </w:rPr>
        <w:t>伍仟</w:t>
      </w:r>
      <w:r>
        <w:rPr>
          <w:rFonts w:hint="eastAsia" w:cs="宋体"/>
          <w:bCs/>
          <w:color w:val="000000" w:themeColor="text1"/>
          <w:sz w:val="21"/>
          <w:szCs w:val="21"/>
          <w:highlight w:val="none"/>
          <w:lang w:eastAsia="zh-CN"/>
          <w14:textFill>
            <w14:solidFill>
              <w14:schemeClr w14:val="tx1"/>
            </w14:solidFill>
          </w14:textFill>
        </w:rPr>
        <w:t>元整），该</w:t>
      </w:r>
      <w:r>
        <w:rPr>
          <w:rFonts w:hint="eastAsia" w:cs="宋体"/>
          <w:bCs/>
          <w:color w:val="000000" w:themeColor="text1"/>
          <w:sz w:val="21"/>
          <w:szCs w:val="21"/>
          <w:highlight w:val="none"/>
          <w:lang w:val="en-US" w:eastAsia="zh-CN"/>
          <w14:textFill>
            <w14:solidFill>
              <w14:schemeClr w14:val="tx1"/>
            </w14:solidFill>
          </w14:textFill>
        </w:rPr>
        <w:t>金额包括本次项目全部费用</w:t>
      </w:r>
      <w:r>
        <w:rPr>
          <w:rFonts w:hint="eastAsia" w:ascii="宋体" w:cs="宋体"/>
          <w:bCs/>
          <w:color w:val="000000" w:themeColor="text1"/>
          <w:sz w:val="21"/>
          <w:szCs w:val="21"/>
          <w:highlight w:val="none"/>
          <w14:textFill>
            <w14:solidFill>
              <w14:schemeClr w14:val="tx1"/>
            </w14:solidFill>
          </w14:textFill>
        </w:rPr>
        <w:t>，</w:t>
      </w:r>
      <w:r>
        <w:rPr>
          <w:rFonts w:hint="eastAsia" w:cs="宋体"/>
          <w:bCs/>
          <w:color w:val="000000" w:themeColor="text1"/>
          <w:sz w:val="21"/>
          <w:szCs w:val="21"/>
          <w:highlight w:val="none"/>
          <w:lang w:val="en-US" w:eastAsia="zh-CN"/>
          <w14:textFill>
            <w14:solidFill>
              <w14:schemeClr w14:val="tx1"/>
            </w14:solidFill>
          </w14:textFill>
        </w:rPr>
        <w:t>投标报价不得超过此金额。</w:t>
      </w:r>
    </w:p>
    <w:p w14:paraId="2992D72E">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hAnsi="宋体" w:cs="Times New Roman"/>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Times New Roman"/>
          <w:color w:val="000000" w:themeColor="text1"/>
          <w:kern w:val="1"/>
          <w:sz w:val="21"/>
          <w:szCs w:val="21"/>
          <w:highlight w:val="none"/>
          <w:lang w:val="en-US" w:eastAsia="zh-CN" w:bidi="ar-SA"/>
          <w14:textFill>
            <w14:solidFill>
              <w14:schemeClr w14:val="tx1"/>
            </w14:solidFill>
          </w14:textFill>
        </w:rPr>
        <w:t>.</w:t>
      </w:r>
      <w:r>
        <w:rPr>
          <w:rFonts w:hint="eastAsia" w:hAnsi="宋体" w:cs="Times New Roman"/>
          <w:color w:val="000000" w:themeColor="text1"/>
          <w:kern w:val="1"/>
          <w:sz w:val="21"/>
          <w:szCs w:val="21"/>
          <w:highlight w:val="none"/>
          <w:lang w:val="en-US" w:eastAsia="zh-CN" w:bidi="ar-SA"/>
          <w14:textFill>
            <w14:solidFill>
              <w14:schemeClr w14:val="tx1"/>
            </w14:solidFill>
          </w14:textFill>
        </w:rPr>
        <w:t>招标</w:t>
      </w:r>
      <w:r>
        <w:rPr>
          <w:rFonts w:hint="eastAsia" w:ascii="宋体" w:hAnsi="宋体" w:eastAsia="宋体" w:cs="Times New Roman"/>
          <w:color w:val="000000" w:themeColor="text1"/>
          <w:kern w:val="1"/>
          <w:sz w:val="21"/>
          <w:szCs w:val="21"/>
          <w:highlight w:val="none"/>
          <w:lang w:val="en-US" w:eastAsia="zh-CN" w:bidi="ar-SA"/>
          <w14:textFill>
            <w14:solidFill>
              <w14:schemeClr w14:val="tx1"/>
            </w14:solidFill>
          </w14:textFill>
        </w:rPr>
        <w:t>地点：桂林技师学</w:t>
      </w:r>
      <w:r>
        <w:rPr>
          <w:rFonts w:hint="eastAsia" w:ascii="宋体" w:hAnsi="宋体" w:eastAsia="宋体" w:cs="Times New Roman"/>
          <w:color w:val="auto"/>
          <w:kern w:val="1"/>
          <w:sz w:val="21"/>
          <w:szCs w:val="21"/>
          <w:highlight w:val="none"/>
          <w:lang w:val="en-US" w:eastAsia="zh-CN" w:bidi="ar-SA"/>
        </w:rPr>
        <w:t xml:space="preserve">院内 </w:t>
      </w:r>
    </w:p>
    <w:p w14:paraId="7F6CA130">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hAnsi="宋体" w:cs="Times New Roman"/>
          <w:color w:val="auto"/>
          <w:kern w:val="1"/>
          <w:sz w:val="21"/>
          <w:szCs w:val="21"/>
          <w:highlight w:val="none"/>
          <w:lang w:val="en-US" w:eastAsia="zh-CN" w:bidi="ar-SA"/>
        </w:rPr>
      </w:pPr>
      <w:r>
        <w:rPr>
          <w:rFonts w:hint="eastAsia" w:hAnsi="宋体" w:cs="Times New Roman"/>
          <w:color w:val="auto"/>
          <w:kern w:val="1"/>
          <w:sz w:val="21"/>
          <w:szCs w:val="21"/>
          <w:highlight w:val="none"/>
          <w:lang w:val="en-US" w:eastAsia="zh-CN" w:bidi="ar-SA"/>
        </w:rPr>
        <w:t>3</w:t>
      </w:r>
      <w:r>
        <w:rPr>
          <w:rFonts w:hint="eastAsia" w:ascii="宋体" w:hAnsi="宋体" w:eastAsia="宋体" w:cs="Times New Roman"/>
          <w:color w:val="auto"/>
          <w:kern w:val="1"/>
          <w:sz w:val="21"/>
          <w:szCs w:val="21"/>
          <w:highlight w:val="none"/>
          <w:lang w:val="en-US" w:eastAsia="zh-CN" w:bidi="ar-SA"/>
        </w:rPr>
        <w:t>.</w:t>
      </w:r>
      <w:r>
        <w:rPr>
          <w:rFonts w:hint="eastAsia" w:hAnsi="宋体" w:cs="Times New Roman"/>
          <w:color w:val="auto"/>
          <w:kern w:val="1"/>
          <w:sz w:val="21"/>
          <w:szCs w:val="21"/>
          <w:highlight w:val="none"/>
          <w:lang w:val="en-US" w:eastAsia="zh-CN" w:bidi="ar-SA"/>
        </w:rPr>
        <w:t>招标</w:t>
      </w:r>
      <w:r>
        <w:rPr>
          <w:rFonts w:hint="eastAsia" w:ascii="宋体" w:hAnsi="宋体" w:eastAsia="宋体" w:cs="Times New Roman"/>
          <w:color w:val="auto"/>
          <w:kern w:val="1"/>
          <w:sz w:val="21"/>
          <w:szCs w:val="21"/>
          <w:highlight w:val="none"/>
          <w:lang w:val="en-US" w:eastAsia="zh-CN" w:bidi="ar-SA"/>
        </w:rPr>
        <w:t>内容：</w:t>
      </w:r>
      <w:r>
        <w:rPr>
          <w:rFonts w:hint="eastAsia" w:hAnsi="宋体" w:cs="Times New Roman"/>
          <w:color w:val="auto"/>
          <w:kern w:val="1"/>
          <w:sz w:val="21"/>
          <w:szCs w:val="21"/>
          <w:highlight w:val="none"/>
          <w:lang w:val="en-US" w:eastAsia="zh-CN" w:bidi="ar-SA"/>
        </w:rPr>
        <w:t>本次招标为捆绑采购，共1套，包含固定全自动体外除颤仪（AED）2台及配套电池电极片、AED壁挂箱2个。</w:t>
      </w:r>
    </w:p>
    <w:p w14:paraId="63BECCD0">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eastAsia" w:ascii="宋体" w:hAnsi="宋体" w:eastAsia="宋体" w:cs="Times New Roman"/>
          <w:b/>
          <w:bCs/>
          <w:color w:val="auto"/>
          <w:kern w:val="1"/>
          <w:sz w:val="21"/>
          <w:szCs w:val="21"/>
          <w:highlight w:val="none"/>
          <w:lang w:val="en-US" w:eastAsia="zh-CN" w:bidi="ar-SA"/>
        </w:rPr>
      </w:pPr>
      <w:r>
        <w:rPr>
          <w:rFonts w:hint="eastAsia" w:ascii="宋体" w:hAnsi="宋体" w:eastAsia="宋体" w:cs="Times New Roman"/>
          <w:b/>
          <w:bCs/>
          <w:color w:val="auto"/>
          <w:kern w:val="1"/>
          <w:sz w:val="21"/>
          <w:szCs w:val="21"/>
          <w:highlight w:val="none"/>
          <w:lang w:val="en-US" w:eastAsia="zh-CN" w:bidi="ar-SA"/>
        </w:rPr>
        <w:t>三、</w:t>
      </w:r>
      <w:r>
        <w:rPr>
          <w:rFonts w:hint="eastAsia" w:hAnsi="宋体" w:cs="Times New Roman"/>
          <w:b/>
          <w:bCs/>
          <w:color w:val="auto"/>
          <w:kern w:val="1"/>
          <w:sz w:val="21"/>
          <w:szCs w:val="21"/>
          <w:highlight w:val="none"/>
          <w:lang w:val="en-US" w:eastAsia="zh-CN" w:bidi="ar-SA"/>
        </w:rPr>
        <w:t>投标人</w:t>
      </w:r>
      <w:r>
        <w:rPr>
          <w:rFonts w:hint="eastAsia" w:ascii="宋体" w:hAnsi="宋体" w:eastAsia="宋体" w:cs="Times New Roman"/>
          <w:b/>
          <w:bCs/>
          <w:color w:val="auto"/>
          <w:kern w:val="1"/>
          <w:sz w:val="21"/>
          <w:szCs w:val="21"/>
          <w:highlight w:val="none"/>
          <w:lang w:val="en-US" w:eastAsia="zh-CN" w:bidi="ar-SA"/>
        </w:rPr>
        <w:t>资格：</w:t>
      </w:r>
    </w:p>
    <w:p w14:paraId="4C9634AF">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ascii="宋体" w:hAnsi="宋体" w:eastAsia="宋体" w:cs="Times New Roman"/>
          <w:b w:val="0"/>
          <w:bCs w:val="0"/>
          <w:color w:val="auto"/>
          <w:kern w:val="1"/>
          <w:sz w:val="21"/>
          <w:szCs w:val="21"/>
          <w:highlight w:val="none"/>
          <w:lang w:val="en-US" w:eastAsia="zh-CN" w:bidi="ar-SA"/>
        </w:rPr>
      </w:pPr>
      <w:r>
        <w:rPr>
          <w:rFonts w:hint="eastAsia" w:ascii="宋体" w:hAnsi="宋体" w:eastAsia="宋体" w:cs="Times New Roman"/>
          <w:b w:val="0"/>
          <w:bCs w:val="0"/>
          <w:color w:val="auto"/>
          <w:kern w:val="1"/>
          <w:sz w:val="21"/>
          <w:szCs w:val="21"/>
          <w:highlight w:val="none"/>
          <w:lang w:val="en-US" w:eastAsia="zh-CN" w:bidi="ar-SA"/>
        </w:rPr>
        <w:t>1.投标人须具有独立承担民事责任的能力，提供有效</w:t>
      </w:r>
      <w:r>
        <w:rPr>
          <w:rFonts w:hint="eastAsia" w:ascii="宋体" w:hAnsi="宋体" w:eastAsia="宋体" w:cs="宋体"/>
          <w:bCs/>
          <w:color w:val="000000" w:themeColor="text1"/>
          <w:kern w:val="1"/>
          <w:sz w:val="21"/>
          <w:szCs w:val="21"/>
          <w:highlight w:val="none"/>
          <w:lang w:val="en-US" w:eastAsia="zh-CN" w:bidi="ar-SA"/>
          <w14:textFill>
            <w14:solidFill>
              <w14:schemeClr w14:val="tx1"/>
            </w14:solidFill>
          </w14:textFill>
        </w:rPr>
        <w:t>的营业执照（经营范围必须包第三类医疗器械经营）、医疗器械生产许可证（Ⅲ 类，范围覆盖 AED）或医疗器械经营许可证（Ⅲ 类）、税务登记证、组织机构代码证（或三证合一证件）、完整授权链（有相应医疗器械生产许可证单位无需提供，每级授权均需加盖公章，并明确项目名称 / 地区 / 有效期）。符合《医疗器械经营监督管理办法》相关规定。</w:t>
      </w:r>
    </w:p>
    <w:p w14:paraId="15713D91">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hAnsi="宋体" w:cs="Times New Roman"/>
          <w:color w:val="auto"/>
          <w:kern w:val="1"/>
          <w:sz w:val="21"/>
          <w:szCs w:val="21"/>
          <w:highlight w:val="none"/>
          <w:lang w:val="en-US" w:eastAsia="zh-CN" w:bidi="ar-SA"/>
        </w:rPr>
        <w:t>2</w:t>
      </w:r>
      <w:r>
        <w:rPr>
          <w:rFonts w:hint="eastAsia" w:ascii="宋体" w:hAnsi="宋体" w:eastAsia="宋体" w:cs="Times New Roman"/>
          <w:color w:val="auto"/>
          <w:kern w:val="1"/>
          <w:sz w:val="21"/>
          <w:szCs w:val="21"/>
          <w:highlight w:val="none"/>
          <w:lang w:val="en-US" w:eastAsia="zh-CN" w:bidi="ar-SA"/>
        </w:rPr>
        <w:t>. 投标人具有履行合同所必需的专业技术能力，实施及售后服务团队，能提供及时、高效的技术支持和售后服务。</w:t>
      </w:r>
    </w:p>
    <w:p w14:paraId="7B2E2A96">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hAnsi="宋体" w:cs="Times New Roman"/>
          <w:color w:val="auto"/>
          <w:kern w:val="1"/>
          <w:sz w:val="21"/>
          <w:szCs w:val="21"/>
          <w:highlight w:val="none"/>
          <w:lang w:val="en-US" w:eastAsia="zh-CN" w:bidi="ar-SA"/>
        </w:rPr>
        <w:t>3</w:t>
      </w:r>
      <w:r>
        <w:rPr>
          <w:rFonts w:hint="eastAsia" w:ascii="宋体" w:hAnsi="宋体" w:eastAsia="宋体" w:cs="Times New Roman"/>
          <w:color w:val="auto"/>
          <w:kern w:val="1"/>
          <w:sz w:val="21"/>
          <w:szCs w:val="21"/>
          <w:highlight w:val="none"/>
          <w:lang w:val="en-US" w:eastAsia="zh-CN" w:bidi="ar-SA"/>
        </w:rPr>
        <w:t>. 投标人参加政府采购活动前三年内，在经营活动中没有重大违法违规记录，没有骗取中标、不正当竞争等不良行为，提供书面承诺函（格式详见招标文件附件）。</w:t>
      </w:r>
    </w:p>
    <w:p w14:paraId="5B93D1F8">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b w:val="0"/>
          <w:bCs w:val="0"/>
          <w:color w:val="auto"/>
          <w:kern w:val="1"/>
          <w:sz w:val="21"/>
          <w:szCs w:val="21"/>
          <w:highlight w:val="none"/>
          <w:lang w:val="en-US" w:eastAsia="zh-CN" w:bidi="ar-SA"/>
        </w:rPr>
      </w:pPr>
      <w:r>
        <w:rPr>
          <w:rFonts w:hint="eastAsia" w:ascii="宋体" w:hAnsi="宋体" w:eastAsia="宋体" w:cs="Times New Roman"/>
          <w:b w:val="0"/>
          <w:bCs w:val="0"/>
          <w:color w:val="auto"/>
          <w:kern w:val="1"/>
          <w:sz w:val="21"/>
          <w:szCs w:val="21"/>
          <w:highlight w:val="none"/>
          <w:lang w:val="en-US" w:eastAsia="zh-CN" w:bidi="ar-SA"/>
        </w:rPr>
        <w:t>4. 投标人具有完善的质量保证和售后服务体系，整机质保≥</w:t>
      </w:r>
      <w:r>
        <w:rPr>
          <w:rFonts w:hint="eastAsia" w:hAnsi="宋体" w:cs="Times New Roman"/>
          <w:b w:val="0"/>
          <w:bCs w:val="0"/>
          <w:color w:val="auto"/>
          <w:kern w:val="1"/>
          <w:sz w:val="21"/>
          <w:szCs w:val="21"/>
          <w:highlight w:val="none"/>
          <w:lang w:val="en-US" w:eastAsia="zh-CN" w:bidi="ar-SA"/>
        </w:rPr>
        <w:t>5</w:t>
      </w:r>
      <w:r>
        <w:rPr>
          <w:rFonts w:hint="eastAsia" w:ascii="宋体" w:hAnsi="宋体" w:eastAsia="宋体" w:cs="Times New Roman"/>
          <w:b w:val="0"/>
          <w:bCs w:val="0"/>
          <w:color w:val="auto"/>
          <w:kern w:val="1"/>
          <w:sz w:val="21"/>
          <w:szCs w:val="21"/>
          <w:highlight w:val="none"/>
          <w:lang w:val="en-US" w:eastAsia="zh-CN" w:bidi="ar-SA"/>
        </w:rPr>
        <w:t>年。</w:t>
      </w:r>
    </w:p>
    <w:p w14:paraId="5F3D18BE">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hAnsi="宋体" w:cs="Times New Roman"/>
          <w:color w:val="auto"/>
          <w:kern w:val="1"/>
          <w:sz w:val="21"/>
          <w:szCs w:val="21"/>
          <w:highlight w:val="none"/>
          <w:lang w:val="en-US" w:eastAsia="zh-CN" w:bidi="ar-SA"/>
        </w:rPr>
        <w:t>5</w:t>
      </w:r>
      <w:r>
        <w:rPr>
          <w:rFonts w:hint="eastAsia" w:ascii="宋体" w:hAnsi="宋体" w:eastAsia="宋体" w:cs="Times New Roman"/>
          <w:color w:val="auto"/>
          <w:kern w:val="1"/>
          <w:sz w:val="21"/>
          <w:szCs w:val="21"/>
          <w:highlight w:val="none"/>
          <w:lang w:val="en-US" w:eastAsia="zh-CN" w:bidi="ar-SA"/>
        </w:rPr>
        <w:t>. 本项目不接受联合体投标，不允许分包、转包。</w:t>
      </w:r>
    </w:p>
    <w:p w14:paraId="01117A4E">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ascii="宋体" w:hAnsi="宋体" w:eastAsia="宋体" w:cs="Times New Roman"/>
          <w:color w:val="auto"/>
          <w:kern w:val="1"/>
          <w:sz w:val="21"/>
          <w:szCs w:val="21"/>
          <w:highlight w:val="none"/>
          <w:lang w:val="en-US" w:eastAsia="zh-CN" w:bidi="ar-SA"/>
        </w:rPr>
      </w:pPr>
      <w:r>
        <w:rPr>
          <w:rFonts w:hint="eastAsia" w:hAnsi="宋体" w:cs="Times New Roman"/>
          <w:color w:val="auto"/>
          <w:kern w:val="1"/>
          <w:sz w:val="21"/>
          <w:szCs w:val="21"/>
          <w:highlight w:val="none"/>
          <w:lang w:val="en-US" w:eastAsia="zh-CN" w:bidi="ar-SA"/>
        </w:rPr>
        <w:t>6</w:t>
      </w:r>
      <w:r>
        <w:rPr>
          <w:rFonts w:hint="eastAsia" w:ascii="宋体" w:hAnsi="宋体" w:eastAsia="宋体" w:cs="Times New Roman"/>
          <w:color w:val="auto"/>
          <w:kern w:val="1"/>
          <w:sz w:val="21"/>
          <w:szCs w:val="21"/>
          <w:highlight w:val="none"/>
          <w:lang w:val="en-US" w:eastAsia="zh-CN" w:bidi="ar-SA"/>
        </w:rPr>
        <w:t>. 投标人未被列入失信被执行人、重大税收违法案件当事人名单、政府采购严重违法失信行为记录名单（</w:t>
      </w:r>
      <w:r>
        <w:rPr>
          <w:rFonts w:hint="eastAsia" w:hAnsi="宋体" w:cs="Times New Roman"/>
          <w:color w:val="auto"/>
          <w:kern w:val="1"/>
          <w:sz w:val="21"/>
          <w:szCs w:val="21"/>
          <w:highlight w:val="none"/>
          <w:lang w:val="en-US" w:eastAsia="zh-CN" w:bidi="ar-SA"/>
        </w:rPr>
        <w:t>以</w:t>
      </w:r>
      <w:r>
        <w:rPr>
          <w:rFonts w:hint="eastAsia" w:ascii="宋体" w:hAnsi="宋体" w:eastAsia="宋体" w:cs="Times New Roman"/>
          <w:color w:val="auto"/>
          <w:kern w:val="1"/>
          <w:sz w:val="21"/>
          <w:szCs w:val="21"/>
          <w:highlight w:val="none"/>
          <w:lang w:val="en-US" w:eastAsia="zh-CN" w:bidi="ar-SA"/>
        </w:rPr>
        <w:t>信用中国网站下载的，本公司近一个月内的信用信息报告为准）。</w:t>
      </w:r>
    </w:p>
    <w:p w14:paraId="4546EC2E">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default" w:ascii="宋体" w:hAnsi="宋体" w:eastAsia="宋体" w:cs="Times New Roman"/>
          <w:color w:val="auto"/>
          <w:kern w:val="1"/>
          <w:sz w:val="21"/>
          <w:szCs w:val="21"/>
          <w:highlight w:val="none"/>
          <w:lang w:val="en-US" w:eastAsia="zh-CN" w:bidi="ar-SA"/>
        </w:rPr>
      </w:pPr>
      <w:r>
        <w:rPr>
          <w:rFonts w:hint="eastAsia" w:ascii="宋体" w:hAnsi="宋体" w:eastAsia="宋体" w:cs="Times New Roman"/>
          <w:b/>
          <w:bCs/>
          <w:color w:val="auto"/>
          <w:kern w:val="1"/>
          <w:sz w:val="21"/>
          <w:szCs w:val="21"/>
          <w:highlight w:val="none"/>
          <w:lang w:val="en-US" w:eastAsia="zh-CN" w:bidi="ar-SA"/>
        </w:rPr>
        <w:t>四、获取</w:t>
      </w:r>
      <w:r>
        <w:rPr>
          <w:rFonts w:hint="eastAsia" w:hAnsi="宋体" w:cs="Times New Roman"/>
          <w:b/>
          <w:bCs/>
          <w:color w:val="auto"/>
          <w:kern w:val="1"/>
          <w:sz w:val="21"/>
          <w:szCs w:val="21"/>
          <w:highlight w:val="none"/>
          <w:lang w:val="en-US" w:eastAsia="zh-CN" w:bidi="ar-SA"/>
        </w:rPr>
        <w:t>招标</w:t>
      </w:r>
      <w:r>
        <w:rPr>
          <w:rFonts w:hint="eastAsia" w:ascii="宋体" w:hAnsi="宋体" w:eastAsia="宋体" w:cs="Times New Roman"/>
          <w:b/>
          <w:bCs/>
          <w:color w:val="auto"/>
          <w:kern w:val="1"/>
          <w:sz w:val="21"/>
          <w:szCs w:val="21"/>
          <w:highlight w:val="none"/>
          <w:lang w:val="en-US" w:eastAsia="zh-CN" w:bidi="ar-SA"/>
        </w:rPr>
        <w:t>文件</w:t>
      </w:r>
      <w:r>
        <w:rPr>
          <w:rFonts w:hint="eastAsia" w:ascii="宋体" w:hAnsi="宋体" w:eastAsia="宋体" w:cs="Times New Roman"/>
          <w:color w:val="auto"/>
          <w:kern w:val="1"/>
          <w:sz w:val="21"/>
          <w:szCs w:val="21"/>
          <w:highlight w:val="none"/>
          <w:lang w:val="en-US" w:eastAsia="zh-CN" w:bidi="ar-SA"/>
        </w:rPr>
        <w:t>：</w:t>
      </w:r>
      <w:r>
        <w:rPr>
          <w:rFonts w:hint="eastAsia" w:hAnsi="宋体" w:cs="Times New Roman"/>
          <w:color w:val="auto"/>
          <w:kern w:val="1"/>
          <w:sz w:val="21"/>
          <w:szCs w:val="21"/>
          <w:highlight w:val="none"/>
          <w:lang w:val="en-US" w:eastAsia="zh-CN" w:bidi="ar-SA"/>
        </w:rPr>
        <w:t>直接从桂林技师学院官网免费获取</w:t>
      </w:r>
    </w:p>
    <w:p w14:paraId="50D28968">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eastAsia" w:ascii="宋体" w:hAnsi="宋体" w:eastAsia="宋体" w:cs="Times New Roman"/>
          <w:b/>
          <w:bCs/>
          <w:color w:val="auto"/>
          <w:kern w:val="1"/>
          <w:sz w:val="21"/>
          <w:szCs w:val="21"/>
          <w:highlight w:val="none"/>
          <w:lang w:val="en-US" w:eastAsia="zh-CN" w:bidi="ar-SA"/>
        </w:rPr>
      </w:pPr>
      <w:r>
        <w:rPr>
          <w:rFonts w:hint="eastAsia" w:ascii="宋体" w:hAnsi="宋体" w:eastAsia="宋体" w:cs="Times New Roman"/>
          <w:b/>
          <w:bCs/>
          <w:color w:val="auto"/>
          <w:kern w:val="1"/>
          <w:sz w:val="21"/>
          <w:szCs w:val="21"/>
          <w:highlight w:val="none"/>
          <w:lang w:val="en-US" w:eastAsia="zh-CN" w:bidi="ar-SA"/>
        </w:rPr>
        <w:t>五、响应文件提交截止时间、地点</w:t>
      </w:r>
    </w:p>
    <w:p w14:paraId="2B7F0460">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1.截止时间：供应商应于</w:t>
      </w:r>
      <w:r>
        <w:rPr>
          <w:rFonts w:hint="eastAsia" w:hAnsi="宋体" w:cs="Times New Roman"/>
          <w:color w:val="auto"/>
          <w:kern w:val="1"/>
          <w:sz w:val="21"/>
          <w:szCs w:val="21"/>
          <w:highlight w:val="none"/>
          <w:lang w:val="en-US" w:eastAsia="zh-CN" w:bidi="ar-SA"/>
        </w:rPr>
        <w:t>2026年5月22日9时00分</w:t>
      </w:r>
      <w:r>
        <w:rPr>
          <w:rFonts w:hint="eastAsia" w:ascii="宋体" w:hAnsi="宋体" w:eastAsia="宋体" w:cs="Times New Roman"/>
          <w:color w:val="auto"/>
          <w:kern w:val="1"/>
          <w:sz w:val="21"/>
          <w:szCs w:val="21"/>
          <w:highlight w:val="none"/>
          <w:lang w:val="en-US" w:eastAsia="zh-CN" w:bidi="ar-SA"/>
        </w:rPr>
        <w:t>（北京时间）前，将响应文件（</w:t>
      </w:r>
      <w:r>
        <w:rPr>
          <w:rFonts w:hint="eastAsia" w:hAnsi="宋体" w:cs="Times New Roman"/>
          <w:b/>
          <w:bCs/>
          <w:color w:val="auto"/>
          <w:kern w:val="1"/>
          <w:sz w:val="21"/>
          <w:szCs w:val="21"/>
          <w:highlight w:val="none"/>
          <w:lang w:val="en-US" w:eastAsia="zh-CN" w:bidi="ar-SA"/>
        </w:rPr>
        <w:t>壹正本贰副本</w:t>
      </w:r>
      <w:r>
        <w:rPr>
          <w:rFonts w:hint="eastAsia" w:ascii="宋体" w:hAnsi="宋体" w:eastAsia="宋体" w:cs="Times New Roman"/>
          <w:color w:val="auto"/>
          <w:kern w:val="1"/>
          <w:sz w:val="21"/>
          <w:szCs w:val="21"/>
          <w:highlight w:val="none"/>
          <w:lang w:val="en-US" w:eastAsia="zh-CN" w:bidi="ar-SA"/>
        </w:rPr>
        <w:t>）密封提交至</w:t>
      </w:r>
      <w:r>
        <w:rPr>
          <w:rFonts w:hint="eastAsia" w:hAnsi="宋体" w:cs="Times New Roman"/>
          <w:color w:val="auto"/>
          <w:kern w:val="1"/>
          <w:sz w:val="21"/>
          <w:szCs w:val="21"/>
          <w:highlight w:val="none"/>
          <w:lang w:val="en-US" w:eastAsia="zh-CN" w:bidi="ar-SA"/>
        </w:rPr>
        <w:t>桂林技师学院总务科</w:t>
      </w:r>
      <w:r>
        <w:rPr>
          <w:rFonts w:hint="eastAsia" w:ascii="宋体" w:hAnsi="宋体" w:eastAsia="宋体" w:cs="Times New Roman"/>
          <w:color w:val="auto"/>
          <w:kern w:val="1"/>
          <w:sz w:val="21"/>
          <w:szCs w:val="21"/>
          <w:highlight w:val="none"/>
          <w:lang w:val="en-US" w:eastAsia="zh-CN" w:bidi="ar-SA"/>
        </w:rPr>
        <w:t>（桂林市七星区</w:t>
      </w:r>
      <w:r>
        <w:rPr>
          <w:rFonts w:hint="eastAsia" w:hAnsi="宋体" w:cs="Times New Roman"/>
          <w:color w:val="auto"/>
          <w:kern w:val="1"/>
          <w:sz w:val="21"/>
          <w:szCs w:val="21"/>
          <w:highlight w:val="none"/>
          <w:lang w:val="en-US" w:eastAsia="zh-CN" w:bidi="ar-SA"/>
        </w:rPr>
        <w:t>五里店路6号</w:t>
      </w:r>
      <w:r>
        <w:rPr>
          <w:rFonts w:hint="eastAsia" w:ascii="宋体" w:hAnsi="宋体" w:eastAsia="宋体" w:cs="Times New Roman"/>
          <w:color w:val="auto"/>
          <w:kern w:val="1"/>
          <w:sz w:val="21"/>
          <w:szCs w:val="21"/>
          <w:highlight w:val="none"/>
          <w:lang w:val="en-US" w:eastAsia="zh-CN" w:bidi="ar-SA"/>
        </w:rPr>
        <w:t>），逾期送达的或者未送达指定地点的响应文件，</w:t>
      </w:r>
      <w:r>
        <w:rPr>
          <w:rFonts w:hint="eastAsia" w:hAnsi="宋体" w:cs="Times New Roman"/>
          <w:color w:val="auto"/>
          <w:kern w:val="1"/>
          <w:sz w:val="21"/>
          <w:szCs w:val="21"/>
          <w:highlight w:val="none"/>
          <w:lang w:val="en-US" w:eastAsia="zh-CN" w:bidi="ar-SA"/>
        </w:rPr>
        <w:t>桂林技师学院总务科</w:t>
      </w:r>
      <w:r>
        <w:rPr>
          <w:rFonts w:hint="eastAsia" w:ascii="宋体" w:hAnsi="宋体" w:eastAsia="宋体" w:cs="Times New Roman"/>
          <w:color w:val="auto"/>
          <w:kern w:val="1"/>
          <w:sz w:val="21"/>
          <w:szCs w:val="21"/>
          <w:highlight w:val="none"/>
          <w:lang w:val="en-US" w:eastAsia="zh-CN" w:bidi="ar-SA"/>
        </w:rPr>
        <w:t>有权拒收。</w:t>
      </w:r>
    </w:p>
    <w:p w14:paraId="72CA526B">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eastAsia" w:ascii="宋体" w:hAnsi="宋体" w:eastAsia="宋体" w:cs="Times New Roman"/>
          <w:b/>
          <w:bCs/>
          <w:color w:val="auto"/>
          <w:kern w:val="1"/>
          <w:sz w:val="21"/>
          <w:szCs w:val="21"/>
          <w:highlight w:val="none"/>
          <w:lang w:val="en-US" w:eastAsia="zh-CN" w:bidi="ar-SA"/>
        </w:rPr>
      </w:pPr>
      <w:r>
        <w:rPr>
          <w:rFonts w:hint="eastAsia" w:ascii="宋体" w:hAnsi="宋体" w:eastAsia="宋体" w:cs="Times New Roman"/>
          <w:b/>
          <w:bCs/>
          <w:color w:val="auto"/>
          <w:kern w:val="1"/>
          <w:sz w:val="21"/>
          <w:szCs w:val="21"/>
          <w:highlight w:val="none"/>
          <w:lang w:val="en-US" w:eastAsia="zh-CN" w:bidi="ar-SA"/>
        </w:rPr>
        <w:t>六、必须提供的文件包含</w:t>
      </w:r>
      <w:r>
        <w:rPr>
          <w:rFonts w:hint="eastAsia" w:hAnsi="宋体" w:cs="Times New Roman"/>
          <w:b/>
          <w:bCs/>
          <w:color w:val="auto"/>
          <w:kern w:val="1"/>
          <w:sz w:val="21"/>
          <w:szCs w:val="21"/>
          <w:highlight w:val="none"/>
          <w:lang w:val="en-US" w:eastAsia="zh-CN" w:bidi="ar-SA"/>
        </w:rPr>
        <w:t>（所有文件需加盖公章）</w:t>
      </w:r>
      <w:r>
        <w:rPr>
          <w:rFonts w:hint="eastAsia" w:ascii="宋体" w:hAnsi="宋体" w:eastAsia="宋体" w:cs="Times New Roman"/>
          <w:b/>
          <w:bCs/>
          <w:color w:val="auto"/>
          <w:kern w:val="1"/>
          <w:sz w:val="21"/>
          <w:szCs w:val="21"/>
          <w:highlight w:val="none"/>
          <w:lang w:val="en-US" w:eastAsia="zh-CN" w:bidi="ar-SA"/>
        </w:rPr>
        <w:t>：</w:t>
      </w:r>
    </w:p>
    <w:p w14:paraId="7ACD2BC8">
      <w:pPr>
        <w:spacing w:line="440" w:lineRule="exact"/>
        <w:ind w:firstLine="560"/>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bCs/>
          <w:color w:val="auto"/>
          <w:szCs w:val="21"/>
          <w:highlight w:val="none"/>
          <w:lang w:val="en-US" w:eastAsia="zh-CN"/>
        </w:rPr>
        <w:t>1</w:t>
      </w:r>
      <w:r>
        <w:rPr>
          <w:rFonts w:hint="eastAsia" w:ascii="宋体" w:hAnsi="宋体" w:eastAsia="宋体" w:cs="Times New Roman"/>
          <w:b/>
          <w:color w:val="auto"/>
          <w:sz w:val="21"/>
          <w:szCs w:val="21"/>
          <w:highlight w:val="none"/>
          <w:lang w:val="en-US" w:eastAsia="zh-CN" w:bidi="ar-SA"/>
        </w:rPr>
        <w:t>）</w:t>
      </w:r>
      <w:r>
        <w:rPr>
          <w:rFonts w:hint="eastAsia" w:ascii="宋体" w:hAnsi="宋体" w:cs="Times New Roman"/>
          <w:b/>
          <w:color w:val="auto"/>
          <w:sz w:val="21"/>
          <w:szCs w:val="21"/>
          <w:highlight w:val="none"/>
          <w:lang w:val="en-US" w:eastAsia="zh-CN" w:bidi="ar-SA"/>
        </w:rPr>
        <w:t>招标</w:t>
      </w:r>
      <w:r>
        <w:rPr>
          <w:rFonts w:hint="eastAsia" w:ascii="宋体" w:hAnsi="宋体" w:eastAsia="宋体" w:cs="Times New Roman"/>
          <w:b/>
          <w:color w:val="auto"/>
          <w:sz w:val="21"/>
          <w:szCs w:val="21"/>
          <w:highlight w:val="none"/>
          <w:lang w:val="en-US" w:eastAsia="zh-CN" w:bidi="ar-SA"/>
        </w:rPr>
        <w:t>报价表；</w:t>
      </w:r>
      <w:r>
        <w:rPr>
          <w:rFonts w:hint="eastAsia" w:ascii="宋体" w:hAnsi="宋体" w:cs="Times New Roman"/>
          <w:b/>
          <w:color w:val="auto"/>
          <w:sz w:val="21"/>
          <w:szCs w:val="21"/>
          <w:highlight w:val="none"/>
          <w:lang w:val="en-US" w:eastAsia="zh-CN" w:bidi="ar-SA"/>
        </w:rPr>
        <w:t>（必须提供，</w:t>
      </w:r>
      <w:r>
        <w:rPr>
          <w:rFonts w:hint="eastAsia" w:ascii="宋体" w:hAnsi="宋体" w:eastAsia="宋体" w:cs="Times New Roman"/>
          <w:b/>
          <w:color w:val="auto"/>
          <w:sz w:val="21"/>
          <w:szCs w:val="21"/>
          <w:highlight w:val="none"/>
          <w:lang w:val="en-US" w:eastAsia="zh-CN" w:bidi="ar-SA"/>
        </w:rPr>
        <w:t>否则标书无效）（附件</w:t>
      </w:r>
      <w:r>
        <w:rPr>
          <w:rFonts w:hint="eastAsia" w:ascii="宋体" w:hAnsi="宋体" w:cs="Times New Roman"/>
          <w:b/>
          <w:color w:val="auto"/>
          <w:sz w:val="21"/>
          <w:szCs w:val="21"/>
          <w:highlight w:val="none"/>
          <w:lang w:val="en-US" w:eastAsia="zh-CN" w:bidi="ar-SA"/>
        </w:rPr>
        <w:t>一</w:t>
      </w:r>
      <w:r>
        <w:rPr>
          <w:rFonts w:hint="eastAsia" w:ascii="宋体" w:hAnsi="宋体" w:eastAsia="宋体" w:cs="Times New Roman"/>
          <w:b/>
          <w:color w:val="auto"/>
          <w:sz w:val="21"/>
          <w:szCs w:val="21"/>
          <w:highlight w:val="none"/>
          <w:lang w:val="en-US" w:eastAsia="zh-CN" w:bidi="ar-SA"/>
        </w:rPr>
        <w:t>）；</w:t>
      </w:r>
    </w:p>
    <w:p w14:paraId="1E9F2307">
      <w:pPr>
        <w:spacing w:line="440" w:lineRule="exact"/>
        <w:ind w:firstLine="560"/>
        <w:rPr>
          <w:rFonts w:hint="default"/>
          <w:color w:val="auto"/>
          <w:highlight w:val="none"/>
          <w:lang w:val="en-US" w:eastAsia="zh-CN"/>
        </w:rPr>
      </w:pPr>
      <w:r>
        <w:rPr>
          <w:rFonts w:hint="eastAsia" w:hAnsi="宋体" w:cs="Times New Roman"/>
          <w:b/>
          <w:color w:val="auto"/>
          <w:sz w:val="21"/>
          <w:szCs w:val="21"/>
          <w:highlight w:val="none"/>
          <w:lang w:val="en-US" w:eastAsia="zh-CN" w:bidi="ar-SA"/>
        </w:rPr>
        <w:t>2）</w:t>
      </w:r>
      <w:r>
        <w:rPr>
          <w:rFonts w:hint="eastAsia" w:ascii="宋体" w:hAnsi="宋体" w:eastAsia="宋体" w:cs="Times New Roman"/>
          <w:b/>
          <w:color w:val="auto"/>
          <w:sz w:val="21"/>
          <w:szCs w:val="21"/>
          <w:highlight w:val="none"/>
          <w:lang w:val="en-US" w:eastAsia="zh-CN" w:bidi="ar-SA"/>
        </w:rPr>
        <w:t>技术响应、偏离情况说明表（必须提供，否则标书无效）（附件</w:t>
      </w:r>
      <w:r>
        <w:rPr>
          <w:rFonts w:hint="eastAsia" w:ascii="宋体" w:hAnsi="宋体" w:cs="Times New Roman"/>
          <w:b/>
          <w:color w:val="auto"/>
          <w:sz w:val="21"/>
          <w:szCs w:val="21"/>
          <w:highlight w:val="none"/>
          <w:lang w:val="en-US" w:eastAsia="zh-CN" w:bidi="ar-SA"/>
        </w:rPr>
        <w:t>二</w:t>
      </w:r>
      <w:r>
        <w:rPr>
          <w:rFonts w:hint="eastAsia" w:ascii="宋体" w:hAnsi="宋体" w:eastAsia="宋体" w:cs="Times New Roman"/>
          <w:b/>
          <w:color w:val="auto"/>
          <w:sz w:val="21"/>
          <w:szCs w:val="21"/>
          <w:highlight w:val="none"/>
          <w:lang w:val="en-US" w:eastAsia="zh-CN" w:bidi="ar-SA"/>
        </w:rPr>
        <w:t>）；</w:t>
      </w:r>
    </w:p>
    <w:p w14:paraId="4BAC1EB0">
      <w:pPr>
        <w:spacing w:line="440" w:lineRule="exact"/>
        <w:ind w:firstLine="560"/>
        <w:rPr>
          <w:rFonts w:hint="eastAsia"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3）供应商的法人</w:t>
      </w:r>
      <w:r>
        <w:rPr>
          <w:rFonts w:hint="eastAsia" w:ascii="宋体" w:hAnsi="宋体" w:cs="Times New Roman"/>
          <w:b/>
          <w:color w:val="auto"/>
          <w:sz w:val="21"/>
          <w:szCs w:val="21"/>
          <w:highlight w:val="none"/>
          <w:lang w:val="en-US" w:eastAsia="zh-CN" w:bidi="ar-SA"/>
        </w:rPr>
        <w:t>及</w:t>
      </w:r>
      <w:r>
        <w:rPr>
          <w:rFonts w:hint="eastAsia" w:ascii="宋体" w:hAnsi="宋体" w:eastAsia="宋体" w:cs="Times New Roman"/>
          <w:b/>
          <w:color w:val="auto"/>
          <w:sz w:val="21"/>
          <w:szCs w:val="21"/>
          <w:highlight w:val="none"/>
          <w:lang w:val="en-US" w:eastAsia="zh-CN" w:bidi="ar-SA"/>
        </w:rPr>
        <w:t>其他组织营业执照等</w:t>
      </w:r>
      <w:r>
        <w:rPr>
          <w:rFonts w:hint="eastAsia" w:ascii="宋体" w:hAnsi="宋体" w:cs="Times New Roman"/>
          <w:b/>
          <w:color w:val="auto"/>
          <w:sz w:val="21"/>
          <w:szCs w:val="21"/>
          <w:highlight w:val="none"/>
          <w:lang w:val="en-US" w:eastAsia="zh-CN" w:bidi="ar-SA"/>
        </w:rPr>
        <w:t>资质</w:t>
      </w:r>
      <w:r>
        <w:rPr>
          <w:rFonts w:hint="eastAsia" w:ascii="宋体" w:hAnsi="宋体" w:eastAsia="宋体" w:cs="Times New Roman"/>
          <w:b/>
          <w:color w:val="auto"/>
          <w:sz w:val="21"/>
          <w:szCs w:val="21"/>
          <w:highlight w:val="none"/>
          <w:lang w:val="en-US" w:eastAsia="zh-CN" w:bidi="ar-SA"/>
        </w:rPr>
        <w:t xml:space="preserve">证明文件复印件（必须提供，否则标书无效）； </w:t>
      </w:r>
    </w:p>
    <w:p w14:paraId="08786946">
      <w:pPr>
        <w:spacing w:line="440" w:lineRule="exact"/>
        <w:ind w:firstLine="560"/>
        <w:rPr>
          <w:rFonts w:hint="eastAsia"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4）供应商相应的法定代表人自然人身份证正反两面复印件（必须提供，否则标书无效）；</w:t>
      </w:r>
    </w:p>
    <w:p w14:paraId="1B91BCBE">
      <w:pPr>
        <w:spacing w:line="440" w:lineRule="exact"/>
        <w:ind w:firstLine="560"/>
        <w:rPr>
          <w:rFonts w:hint="eastAsia"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5）法定代表人授权书原件、授权委托人身份证（授权委托时必须提供，否则标书无效）；（附件</w:t>
      </w:r>
      <w:r>
        <w:rPr>
          <w:rFonts w:hint="eastAsia" w:ascii="宋体" w:hAnsi="宋体" w:cs="Times New Roman"/>
          <w:b/>
          <w:color w:val="auto"/>
          <w:sz w:val="21"/>
          <w:szCs w:val="21"/>
          <w:highlight w:val="none"/>
          <w:lang w:val="en-US" w:eastAsia="zh-CN" w:bidi="ar-SA"/>
        </w:rPr>
        <w:t>三</w:t>
      </w:r>
      <w:r>
        <w:rPr>
          <w:rFonts w:hint="eastAsia" w:ascii="宋体" w:hAnsi="宋体" w:eastAsia="宋体" w:cs="Times New Roman"/>
          <w:b/>
          <w:color w:val="auto"/>
          <w:sz w:val="21"/>
          <w:szCs w:val="21"/>
          <w:highlight w:val="none"/>
          <w:lang w:val="en-US" w:eastAsia="zh-CN" w:bidi="ar-SA"/>
        </w:rPr>
        <w:t>）</w:t>
      </w:r>
    </w:p>
    <w:p w14:paraId="76F26E0F">
      <w:pPr>
        <w:spacing w:line="440" w:lineRule="exact"/>
        <w:ind w:firstLine="560"/>
        <w:rPr>
          <w:rFonts w:hint="eastAsia"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7）</w:t>
      </w:r>
      <w:r>
        <w:rPr>
          <w:rFonts w:hint="eastAsia" w:ascii="宋体" w:hAnsi="宋体" w:cs="Times New Roman"/>
          <w:b/>
          <w:color w:val="auto"/>
          <w:sz w:val="21"/>
          <w:szCs w:val="21"/>
          <w:highlight w:val="none"/>
          <w:lang w:val="en-US" w:eastAsia="zh-CN" w:bidi="ar-SA"/>
        </w:rPr>
        <w:t>参</w:t>
      </w:r>
      <w:r>
        <w:rPr>
          <w:rFonts w:hint="eastAsia" w:ascii="宋体" w:hAnsi="宋体" w:eastAsia="宋体" w:cs="Times New Roman"/>
          <w:b/>
          <w:color w:val="auto"/>
          <w:sz w:val="21"/>
          <w:szCs w:val="21"/>
          <w:highlight w:val="none"/>
          <w:lang w:val="en-US" w:eastAsia="zh-CN" w:bidi="ar-SA"/>
        </w:rPr>
        <w:t>与</w:t>
      </w:r>
      <w:r>
        <w:rPr>
          <w:rFonts w:hint="eastAsia" w:ascii="宋体" w:hAnsi="宋体" w:cs="Times New Roman"/>
          <w:b/>
          <w:color w:val="auto"/>
          <w:sz w:val="21"/>
          <w:szCs w:val="21"/>
          <w:highlight w:val="none"/>
          <w:lang w:val="en-US" w:eastAsia="zh-CN" w:bidi="ar-SA"/>
        </w:rPr>
        <w:t>投标文件</w:t>
      </w:r>
      <w:r>
        <w:rPr>
          <w:rFonts w:hint="eastAsia" w:ascii="宋体" w:hAnsi="宋体" w:eastAsia="宋体" w:cs="Times New Roman"/>
          <w:b/>
          <w:color w:val="auto"/>
          <w:sz w:val="21"/>
          <w:szCs w:val="21"/>
          <w:highlight w:val="none"/>
          <w:lang w:val="en-US" w:eastAsia="zh-CN" w:bidi="ar-SA"/>
        </w:rPr>
        <w:t>，包含</w:t>
      </w:r>
      <w:r>
        <w:rPr>
          <w:rFonts w:hint="eastAsia" w:ascii="宋体" w:hAnsi="宋体" w:cs="Times New Roman"/>
          <w:b/>
          <w:color w:val="auto"/>
          <w:sz w:val="21"/>
          <w:szCs w:val="21"/>
          <w:highlight w:val="none"/>
          <w:lang w:val="en-US" w:eastAsia="zh-CN" w:bidi="ar-SA"/>
        </w:rPr>
        <w:t>技术</w:t>
      </w:r>
      <w:r>
        <w:rPr>
          <w:rFonts w:hint="eastAsia" w:ascii="宋体" w:hAnsi="宋体" w:eastAsia="宋体" w:cs="Times New Roman"/>
          <w:b/>
          <w:color w:val="auto"/>
          <w:sz w:val="21"/>
          <w:szCs w:val="21"/>
          <w:highlight w:val="none"/>
          <w:lang w:val="en-US" w:eastAsia="zh-CN" w:bidi="ar-SA"/>
        </w:rPr>
        <w:t>方案、</w:t>
      </w:r>
      <w:r>
        <w:rPr>
          <w:rFonts w:hint="eastAsia" w:ascii="宋体" w:hAnsi="宋体" w:cs="Times New Roman"/>
          <w:b/>
          <w:color w:val="auto"/>
          <w:sz w:val="21"/>
          <w:szCs w:val="21"/>
          <w:highlight w:val="none"/>
          <w:lang w:val="en-US" w:eastAsia="zh-CN" w:bidi="ar-SA"/>
        </w:rPr>
        <w:t>售后</w:t>
      </w:r>
      <w:r>
        <w:rPr>
          <w:rFonts w:hint="eastAsia" w:ascii="宋体" w:hAnsi="宋体" w:eastAsia="宋体" w:cs="Times New Roman"/>
          <w:b/>
          <w:color w:val="auto"/>
          <w:sz w:val="21"/>
          <w:szCs w:val="21"/>
          <w:highlight w:val="none"/>
          <w:lang w:val="en-US" w:eastAsia="zh-CN" w:bidi="ar-SA"/>
        </w:rPr>
        <w:t>服务、廉政廉洁承诺</w:t>
      </w:r>
      <w:r>
        <w:rPr>
          <w:rFonts w:hint="eastAsia" w:ascii="宋体" w:hAnsi="宋体" w:cs="Times New Roman"/>
          <w:b/>
          <w:color w:val="auto"/>
          <w:sz w:val="21"/>
          <w:szCs w:val="21"/>
          <w:highlight w:val="none"/>
          <w:lang w:val="en-US" w:eastAsia="zh-CN" w:bidi="ar-SA"/>
        </w:rPr>
        <w:t>、</w:t>
      </w:r>
      <w:r>
        <w:rPr>
          <w:rFonts w:hint="eastAsia" w:ascii="宋体" w:hAnsi="宋体" w:eastAsia="宋体" w:cs="Times New Roman"/>
          <w:b/>
          <w:color w:val="auto"/>
          <w:sz w:val="21"/>
          <w:szCs w:val="21"/>
          <w:highlight w:val="none"/>
          <w:lang w:val="en-US" w:eastAsia="zh-CN" w:bidi="ar-SA"/>
        </w:rPr>
        <w:t>信誉业绩，必须编制页码及准确目录，若因为</w:t>
      </w:r>
      <w:r>
        <w:rPr>
          <w:rFonts w:hint="eastAsia" w:ascii="宋体" w:hAnsi="宋体" w:cs="Times New Roman"/>
          <w:b/>
          <w:color w:val="auto"/>
          <w:sz w:val="21"/>
          <w:szCs w:val="21"/>
          <w:highlight w:val="none"/>
          <w:lang w:val="en-US" w:eastAsia="zh-CN" w:bidi="ar-SA"/>
        </w:rPr>
        <w:t>投标文件</w:t>
      </w:r>
      <w:r>
        <w:rPr>
          <w:rFonts w:hint="eastAsia" w:ascii="宋体" w:hAnsi="宋体" w:eastAsia="宋体" w:cs="Times New Roman"/>
          <w:b/>
          <w:color w:val="auto"/>
          <w:sz w:val="21"/>
          <w:szCs w:val="21"/>
          <w:highlight w:val="none"/>
          <w:lang w:val="en-US" w:eastAsia="zh-CN" w:bidi="ar-SA"/>
        </w:rPr>
        <w:t>编制混乱导致评审难以进行则标书无效；（必须提供，否则标书无效）</w:t>
      </w:r>
    </w:p>
    <w:p w14:paraId="285270D7">
      <w:pPr>
        <w:spacing w:line="440" w:lineRule="exact"/>
        <w:ind w:firstLine="560"/>
        <w:rPr>
          <w:rFonts w:hint="eastAsia" w:ascii="宋体" w:hAnsi="宋体" w:eastAsia="宋体" w:cs="Times New Roman"/>
          <w:b/>
          <w:color w:val="auto"/>
          <w:sz w:val="21"/>
          <w:szCs w:val="21"/>
          <w:highlight w:val="none"/>
          <w:lang w:val="en-US" w:eastAsia="zh-CN" w:bidi="ar-SA"/>
        </w:rPr>
      </w:pPr>
      <w:r>
        <w:rPr>
          <w:rFonts w:hint="eastAsia" w:ascii="宋体" w:hAnsi="宋体" w:eastAsia="宋体" w:cs="Times New Roman"/>
          <w:b/>
          <w:color w:val="000000"/>
          <w:sz w:val="21"/>
          <w:szCs w:val="21"/>
          <w:highlight w:val="none"/>
          <w:lang w:val="en-US" w:eastAsia="zh-CN" w:bidi="ar-SA"/>
        </w:rPr>
        <w:t>8）必须提供信用中国网站下载的，本公司近一个月内的信用信息报告（必须提供信用中国报告，提供其他的证明材料无效）（必须提供，否则标书无效）；</w:t>
      </w:r>
    </w:p>
    <w:p w14:paraId="58E6C5E0">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eastAsia" w:ascii="宋体" w:hAnsi="宋体" w:eastAsia="宋体" w:cs="Times New Roman"/>
          <w:b/>
          <w:bCs/>
          <w:color w:val="auto"/>
          <w:kern w:val="1"/>
          <w:sz w:val="21"/>
          <w:szCs w:val="21"/>
          <w:highlight w:val="none"/>
          <w:lang w:val="en-US" w:eastAsia="zh-CN" w:bidi="ar-SA"/>
        </w:rPr>
      </w:pPr>
      <w:r>
        <w:rPr>
          <w:rFonts w:hint="eastAsia" w:ascii="宋体" w:hAnsi="宋体" w:eastAsia="宋体" w:cs="Times New Roman"/>
          <w:b/>
          <w:bCs/>
          <w:color w:val="auto"/>
          <w:kern w:val="1"/>
          <w:sz w:val="21"/>
          <w:szCs w:val="21"/>
          <w:highlight w:val="none"/>
          <w:lang w:val="en-US" w:eastAsia="zh-CN" w:bidi="ar-SA"/>
        </w:rPr>
        <w:t>七、响应文件开启时间、地点</w:t>
      </w:r>
    </w:p>
    <w:p w14:paraId="688C4661">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1.时间：</w:t>
      </w:r>
      <w:r>
        <w:rPr>
          <w:rFonts w:hint="eastAsia" w:hAnsi="宋体" w:cs="Times New Roman"/>
          <w:color w:val="auto"/>
          <w:kern w:val="1"/>
          <w:sz w:val="21"/>
          <w:szCs w:val="21"/>
          <w:highlight w:val="none"/>
          <w:lang w:val="en-US" w:eastAsia="zh-CN" w:bidi="ar-SA"/>
        </w:rPr>
        <w:t>响应文件</w:t>
      </w:r>
      <w:r>
        <w:rPr>
          <w:rFonts w:hint="eastAsia" w:ascii="宋体" w:hAnsi="宋体" w:eastAsia="宋体" w:cs="Times New Roman"/>
          <w:color w:val="auto"/>
          <w:kern w:val="1"/>
          <w:sz w:val="21"/>
          <w:szCs w:val="21"/>
          <w:highlight w:val="none"/>
          <w:lang w:val="en-US" w:eastAsia="zh-CN" w:bidi="ar-SA"/>
        </w:rPr>
        <w:t>提交截止时间后择期进行；</w:t>
      </w:r>
    </w:p>
    <w:p w14:paraId="353A7F73">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2.地点：</w:t>
      </w:r>
      <w:r>
        <w:rPr>
          <w:rFonts w:hint="eastAsia" w:ascii="宋体" w:hAnsi="宋体" w:cs="宋体"/>
          <w:color w:val="auto"/>
          <w:highlight w:val="none"/>
        </w:rPr>
        <w:t>桂林市七星区</w:t>
      </w:r>
      <w:r>
        <w:rPr>
          <w:rFonts w:hint="eastAsia" w:hAnsi="宋体" w:cs="宋体"/>
          <w:color w:val="auto"/>
          <w:highlight w:val="none"/>
          <w:lang w:val="en-US" w:eastAsia="zh-CN"/>
        </w:rPr>
        <w:t>五里店路六号桂林技师学院内</w:t>
      </w:r>
      <w:r>
        <w:rPr>
          <w:rFonts w:hint="eastAsia" w:hAnsi="宋体" w:eastAsia="宋体" w:cs="Times New Roman"/>
          <w:color w:val="auto"/>
          <w:szCs w:val="21"/>
          <w:highlight w:val="none"/>
          <w:lang w:val="en-US" w:eastAsia="zh-CN"/>
        </w:rPr>
        <w:t>。</w:t>
      </w:r>
    </w:p>
    <w:p w14:paraId="08A4EF8B">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3.评标方法：</w:t>
      </w:r>
      <w:r>
        <w:rPr>
          <w:rFonts w:hint="eastAsia" w:hAnsi="宋体" w:cs="Times New Roman"/>
          <w:color w:val="auto"/>
          <w:kern w:val="1"/>
          <w:sz w:val="21"/>
          <w:szCs w:val="21"/>
          <w:highlight w:val="none"/>
          <w:lang w:val="en-US" w:eastAsia="zh-CN" w:bidi="ar-SA"/>
        </w:rPr>
        <w:t>合理最低价法</w:t>
      </w:r>
      <w:r>
        <w:rPr>
          <w:rFonts w:hint="eastAsia" w:ascii="宋体" w:hAnsi="宋体" w:eastAsia="宋体" w:cs="Times New Roman"/>
          <w:color w:val="auto"/>
          <w:kern w:val="1"/>
          <w:sz w:val="21"/>
          <w:szCs w:val="21"/>
          <w:highlight w:val="none"/>
          <w:lang w:val="en-US" w:eastAsia="zh-CN" w:bidi="ar-SA"/>
        </w:rPr>
        <w:t xml:space="preserve">   </w:t>
      </w:r>
    </w:p>
    <w:p w14:paraId="00555074">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eastAsia" w:ascii="宋体" w:hAnsi="宋体" w:eastAsia="宋体" w:cs="Times New Roman"/>
          <w:color w:val="auto"/>
          <w:kern w:val="1"/>
          <w:sz w:val="21"/>
          <w:szCs w:val="21"/>
          <w:highlight w:val="none"/>
          <w:lang w:val="en-US" w:eastAsia="zh-CN" w:bidi="ar-SA"/>
        </w:rPr>
      </w:pPr>
      <w:r>
        <w:rPr>
          <w:rFonts w:hint="eastAsia" w:ascii="宋体" w:hAnsi="宋体" w:eastAsia="宋体" w:cs="Times New Roman"/>
          <w:b/>
          <w:bCs/>
          <w:color w:val="auto"/>
          <w:kern w:val="1"/>
          <w:sz w:val="21"/>
          <w:szCs w:val="21"/>
          <w:highlight w:val="none"/>
          <w:lang w:val="en-US" w:eastAsia="zh-CN" w:bidi="ar-SA"/>
        </w:rPr>
        <w:t>八、公告期限：</w:t>
      </w:r>
      <w:r>
        <w:rPr>
          <w:rFonts w:hint="eastAsia" w:ascii="宋体" w:hAnsi="宋体" w:eastAsia="宋体" w:cs="Times New Roman"/>
          <w:color w:val="auto"/>
          <w:kern w:val="1"/>
          <w:sz w:val="21"/>
          <w:szCs w:val="21"/>
          <w:highlight w:val="none"/>
          <w:lang w:val="en-US" w:eastAsia="zh-CN" w:bidi="ar-SA"/>
        </w:rPr>
        <w:t>自本公告发布之日起3个</w:t>
      </w:r>
      <w:r>
        <w:rPr>
          <w:rFonts w:hint="eastAsia" w:hAnsi="宋体" w:cs="Times New Roman"/>
          <w:color w:val="auto"/>
          <w:kern w:val="1"/>
          <w:sz w:val="21"/>
          <w:szCs w:val="21"/>
          <w:highlight w:val="none"/>
          <w:lang w:val="en-US" w:eastAsia="zh-CN" w:bidi="ar-SA"/>
        </w:rPr>
        <w:t>工作</w:t>
      </w:r>
      <w:r>
        <w:rPr>
          <w:rFonts w:hint="eastAsia" w:ascii="宋体" w:hAnsi="宋体" w:eastAsia="宋体" w:cs="Times New Roman"/>
          <w:color w:val="auto"/>
          <w:kern w:val="1"/>
          <w:sz w:val="21"/>
          <w:szCs w:val="21"/>
          <w:highlight w:val="none"/>
          <w:lang w:val="en-US" w:eastAsia="zh-CN" w:bidi="ar-SA"/>
        </w:rPr>
        <w:t>日。</w:t>
      </w:r>
    </w:p>
    <w:p w14:paraId="7AE63A7C">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eastAsia" w:ascii="宋体" w:hAnsi="宋体" w:eastAsia="宋体" w:cs="Times New Roman"/>
          <w:b/>
          <w:bCs/>
          <w:color w:val="auto"/>
          <w:kern w:val="1"/>
          <w:sz w:val="21"/>
          <w:szCs w:val="21"/>
          <w:highlight w:val="none"/>
          <w:lang w:val="en-US" w:eastAsia="zh-CN" w:bidi="ar-SA"/>
        </w:rPr>
      </w:pPr>
      <w:r>
        <w:rPr>
          <w:rFonts w:hint="eastAsia" w:ascii="宋体" w:hAnsi="宋体" w:eastAsia="宋体" w:cs="Times New Roman"/>
          <w:b/>
          <w:bCs/>
          <w:color w:val="auto"/>
          <w:kern w:val="1"/>
          <w:sz w:val="21"/>
          <w:szCs w:val="21"/>
          <w:highlight w:val="none"/>
          <w:lang w:val="en-US" w:eastAsia="zh-CN" w:bidi="ar-SA"/>
        </w:rPr>
        <w:t>九、联系事项：</w:t>
      </w:r>
    </w:p>
    <w:p w14:paraId="65EE3EE8">
      <w:pPr>
        <w:pStyle w:val="14"/>
        <w:spacing w:line="440" w:lineRule="exact"/>
        <w:ind w:firstLine="420" w:firstLineChars="200"/>
        <w:rPr>
          <w:rFonts w:hint="eastAsia" w:ascii="宋体" w:hAnsi="宋体" w:eastAsia="宋体" w:cs="Times New Roman"/>
          <w:b/>
          <w:bCs/>
          <w:color w:val="auto"/>
          <w:kern w:val="1"/>
          <w:sz w:val="21"/>
          <w:szCs w:val="21"/>
          <w:highlight w:val="none"/>
          <w:lang w:val="en-US" w:eastAsia="zh-CN" w:bidi="ar-SA"/>
        </w:rPr>
      </w:pPr>
      <w:r>
        <w:rPr>
          <w:rFonts w:hint="eastAsia" w:ascii="宋体" w:hAnsi="宋体"/>
          <w:color w:val="auto"/>
          <w:szCs w:val="21"/>
          <w:highlight w:val="none"/>
        </w:rPr>
        <w:t>1.采购人信息：</w:t>
      </w:r>
    </w:p>
    <w:p w14:paraId="2F0BD808">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单位名称：桂林技师学院</w:t>
      </w:r>
    </w:p>
    <w:p w14:paraId="0C3A0EDF">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ascii="宋体" w:hAnsi="宋体" w:eastAsia="宋体" w:cs="Times New Roman"/>
          <w:color w:val="auto"/>
          <w:kern w:val="1"/>
          <w:sz w:val="21"/>
          <w:szCs w:val="21"/>
          <w:highlight w:val="none"/>
          <w:lang w:val="en-US" w:eastAsia="zh-CN" w:bidi="ar-SA"/>
        </w:rPr>
      </w:pPr>
      <w:r>
        <w:rPr>
          <w:rFonts w:hint="eastAsia" w:ascii="宋体" w:hAnsi="宋体" w:eastAsia="宋体" w:cs="Times New Roman"/>
          <w:color w:val="auto"/>
          <w:kern w:val="1"/>
          <w:sz w:val="21"/>
          <w:szCs w:val="21"/>
          <w:highlight w:val="none"/>
          <w:lang w:val="en-US" w:eastAsia="zh-CN" w:bidi="ar-SA"/>
        </w:rPr>
        <w:t>地址：桂林市五里店路6号</w:t>
      </w:r>
    </w:p>
    <w:p w14:paraId="72112FD9">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default" w:cs="Times New Roman"/>
          <w:color w:val="auto"/>
          <w:szCs w:val="21"/>
          <w:highlight w:val="none"/>
          <w:lang w:val="en-US" w:eastAsia="zh-CN"/>
        </w:rPr>
      </w:pPr>
      <w:r>
        <w:rPr>
          <w:rFonts w:hint="eastAsia" w:ascii="宋体" w:hAnsi="宋体" w:eastAsia="宋体" w:cs="Times New Roman"/>
          <w:color w:val="auto"/>
          <w:kern w:val="1"/>
          <w:sz w:val="21"/>
          <w:szCs w:val="21"/>
          <w:highlight w:val="none"/>
          <w:lang w:val="en-US" w:eastAsia="zh-CN" w:bidi="ar-SA"/>
        </w:rPr>
        <w:t>联系人：</w:t>
      </w:r>
      <w:r>
        <w:rPr>
          <w:rFonts w:hint="eastAsia" w:hAnsi="宋体" w:cs="Times New Roman"/>
          <w:color w:val="auto"/>
          <w:kern w:val="1"/>
          <w:sz w:val="21"/>
          <w:szCs w:val="21"/>
          <w:highlight w:val="none"/>
          <w:lang w:val="en-US" w:eastAsia="zh-CN" w:bidi="ar-SA"/>
        </w:rPr>
        <w:t>廖</w:t>
      </w:r>
      <w:r>
        <w:rPr>
          <w:rFonts w:hint="eastAsia" w:ascii="宋体" w:hAnsi="宋体" w:eastAsia="宋体" w:cs="Times New Roman"/>
          <w:color w:val="auto"/>
          <w:kern w:val="1"/>
          <w:sz w:val="21"/>
          <w:szCs w:val="21"/>
          <w:highlight w:val="none"/>
          <w:lang w:val="en-US" w:eastAsia="zh-CN" w:bidi="ar-SA"/>
        </w:rPr>
        <w:t>老师   电话：</w:t>
      </w:r>
      <w:r>
        <w:rPr>
          <w:rFonts w:hint="eastAsia" w:hAnsi="宋体" w:cs="Times New Roman"/>
          <w:color w:val="auto"/>
          <w:kern w:val="1"/>
          <w:sz w:val="21"/>
          <w:szCs w:val="21"/>
          <w:highlight w:val="none"/>
          <w:lang w:val="en-US" w:eastAsia="zh-CN" w:bidi="ar-SA"/>
        </w:rPr>
        <w:t>17577287918</w:t>
      </w:r>
      <w:bookmarkStart w:id="18" w:name="_GoBack"/>
      <w:bookmarkEnd w:id="18"/>
    </w:p>
    <w:p w14:paraId="006BDB6D">
      <w:pPr>
        <w:rPr>
          <w:rFonts w:hint="default" w:cs="Times New Roman"/>
          <w:color w:val="auto"/>
          <w:szCs w:val="21"/>
          <w:highlight w:val="none"/>
          <w:lang w:val="en-US" w:eastAsia="zh-CN"/>
        </w:rPr>
      </w:pPr>
      <w:r>
        <w:rPr>
          <w:rFonts w:hint="default" w:cs="Times New Roman"/>
          <w:color w:val="auto"/>
          <w:szCs w:val="21"/>
          <w:highlight w:val="none"/>
          <w:lang w:val="en-US" w:eastAsia="zh-CN"/>
        </w:rPr>
        <w:br w:type="page"/>
      </w:r>
    </w:p>
    <w:p w14:paraId="57C750EF">
      <w:pPr>
        <w:pStyle w:val="14"/>
        <w:numPr>
          <w:ilvl w:val="0"/>
          <w:numId w:val="0"/>
        </w:numPr>
        <w:jc w:val="center"/>
        <w:rPr>
          <w:rFonts w:hint="eastAsia"/>
          <w:b/>
          <w:color w:val="auto"/>
          <w:sz w:val="30"/>
          <w:szCs w:val="30"/>
          <w:highlight w:val="none"/>
          <w:lang w:val="en-US" w:eastAsia="zh-CN"/>
        </w:rPr>
        <w:sectPr>
          <w:headerReference r:id="rId7" w:type="first"/>
          <w:headerReference r:id="rId6" w:type="default"/>
          <w:footerReference r:id="rId8" w:type="default"/>
          <w:pgSz w:w="11906" w:h="16838"/>
          <w:pgMar w:top="1440" w:right="1080" w:bottom="1440" w:left="1080" w:header="851" w:footer="992" w:gutter="0"/>
          <w:pgNumType w:fmt="decimal"/>
          <w:cols w:space="720" w:num="1"/>
          <w:titlePg/>
        </w:sectPr>
      </w:pPr>
    </w:p>
    <w:p w14:paraId="59AF57AC">
      <w:pPr>
        <w:pageBreakBefore/>
        <w:jc w:val="center"/>
        <w:rPr>
          <w:rFonts w:hint="eastAsia" w:ascii="宋体" w:hAnsi="宋体"/>
          <w:b/>
          <w:color w:val="auto"/>
          <w:sz w:val="32"/>
          <w:szCs w:val="32"/>
          <w:highlight w:val="none"/>
        </w:rPr>
      </w:pPr>
      <w:r>
        <w:rPr>
          <w:rFonts w:hint="eastAsia"/>
          <w:b/>
          <w:color w:val="auto"/>
          <w:sz w:val="32"/>
          <w:highlight w:val="none"/>
        </w:rPr>
        <w:t xml:space="preserve">第二章   </w:t>
      </w:r>
      <w:r>
        <w:rPr>
          <w:rFonts w:hint="eastAsia" w:ascii="宋体" w:hAnsi="宋体"/>
          <w:b/>
          <w:color w:val="auto"/>
          <w:sz w:val="32"/>
          <w:szCs w:val="32"/>
          <w:highlight w:val="none"/>
          <w:lang w:val="en-US" w:eastAsia="zh-CN"/>
        </w:rPr>
        <w:t>投标</w:t>
      </w:r>
      <w:r>
        <w:rPr>
          <w:rFonts w:hint="eastAsia" w:ascii="宋体" w:hAnsi="宋体"/>
          <w:b/>
          <w:color w:val="auto"/>
          <w:sz w:val="32"/>
          <w:szCs w:val="32"/>
          <w:highlight w:val="none"/>
        </w:rPr>
        <w:t>须知</w:t>
      </w:r>
    </w:p>
    <w:p w14:paraId="34B8CCD2">
      <w:pPr>
        <w:spacing w:line="400" w:lineRule="exact"/>
        <w:rPr>
          <w:rFonts w:hint="eastAsia" w:ascii="宋体" w:hAnsi="宋体"/>
          <w:color w:val="auto"/>
          <w:szCs w:val="21"/>
          <w:highlight w:val="none"/>
        </w:rPr>
      </w:pPr>
    </w:p>
    <w:p w14:paraId="5863E90A">
      <w:pPr>
        <w:spacing w:line="4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一、总　则</w:t>
      </w:r>
    </w:p>
    <w:p w14:paraId="5F77ED96">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本文件仅适用于本文件中所叙述的服务类采购项目。</w:t>
      </w:r>
    </w:p>
    <w:p w14:paraId="3215B210">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供应商的资格要求</w:t>
      </w:r>
    </w:p>
    <w:p w14:paraId="3B0FD4EE">
      <w:pPr>
        <w:spacing w:line="420" w:lineRule="exact"/>
        <w:ind w:firstLine="420" w:firstLineChars="200"/>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详</w:t>
      </w:r>
      <w:r>
        <w:rPr>
          <w:rFonts w:hint="eastAsia" w:ascii="宋体" w:hAnsi="宋体" w:eastAsia="宋体" w:cs="宋体"/>
          <w:b w:val="0"/>
          <w:bCs w:val="0"/>
          <w:color w:val="auto"/>
          <w:szCs w:val="21"/>
          <w:highlight w:val="none"/>
          <w:lang w:eastAsia="zh-CN"/>
        </w:rPr>
        <w:t>见第一章</w:t>
      </w:r>
      <w:r>
        <w:rPr>
          <w:rFonts w:hint="eastAsia" w:ascii="宋体" w:hAnsi="宋体" w:eastAsia="宋体" w:cs="宋体"/>
          <w:b w:val="0"/>
          <w:bCs w:val="0"/>
          <w:color w:val="auto"/>
          <w:szCs w:val="21"/>
          <w:highlight w:val="none"/>
          <w:lang w:val="en-US" w:eastAsia="zh-CN"/>
        </w:rPr>
        <w:t xml:space="preserve"> 公开招标公告 </w:t>
      </w:r>
      <w:r>
        <w:rPr>
          <w:rFonts w:hint="eastAsia" w:ascii="宋体" w:hAnsi="宋体" w:cs="宋体"/>
          <w:b w:val="0"/>
          <w:bCs w:val="0"/>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资格</w:t>
      </w:r>
    </w:p>
    <w:p w14:paraId="5CE8F690">
      <w:pPr>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供应商应自行承担所有提交</w:t>
      </w:r>
      <w:r>
        <w:rPr>
          <w:rFonts w:hint="eastAsia" w:ascii="宋体" w:hAnsi="宋体" w:eastAsia="宋体" w:cs="宋体"/>
          <w:color w:val="auto"/>
          <w:szCs w:val="21"/>
          <w:highlight w:val="none"/>
          <w:lang w:eastAsia="zh-CN"/>
        </w:rPr>
        <w:t>公开投标</w:t>
      </w:r>
      <w:r>
        <w:rPr>
          <w:rFonts w:hint="eastAsia" w:ascii="宋体" w:hAnsi="宋体" w:eastAsia="宋体" w:cs="宋体"/>
          <w:color w:val="auto"/>
          <w:szCs w:val="21"/>
          <w:highlight w:val="none"/>
        </w:rPr>
        <w:t>响应文件有关的费用，不论</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结果如何，采购人在任何情况下无义务和责任承担此类费用。</w:t>
      </w:r>
      <w:bookmarkStart w:id="0" w:name="_Toc254970673"/>
      <w:bookmarkStart w:id="1" w:name="_Toc254970532"/>
      <w:r>
        <w:rPr>
          <w:rFonts w:hint="eastAsia" w:ascii="宋体" w:hAnsi="宋体" w:eastAsia="宋体" w:cs="宋体"/>
          <w:color w:val="auto"/>
          <w:szCs w:val="21"/>
          <w:highlight w:val="none"/>
          <w:lang w:val="en-US" w:eastAsia="zh-CN"/>
        </w:rPr>
        <w:t xml:space="preserve"> </w:t>
      </w:r>
    </w:p>
    <w:p w14:paraId="3D58A6C0">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4.特别说明：</w:t>
      </w:r>
      <w:bookmarkEnd w:id="0"/>
      <w:bookmarkEnd w:id="1"/>
    </w:p>
    <w:p w14:paraId="23CE9023">
      <w:pPr>
        <w:pStyle w:val="14"/>
        <w:snapToGrid w:val="0"/>
        <w:spacing w:line="42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关联供应商不得参加同一合同项下采购活动，单位负责人为同一人或者存在直接控股、管理关系的不同的供应商，不得参加同一合同项下的采购活动。</w:t>
      </w:r>
    </w:p>
    <w:p w14:paraId="5E839803">
      <w:pPr>
        <w:pStyle w:val="14"/>
        <w:snapToGrid w:val="0"/>
        <w:spacing w:line="420" w:lineRule="exact"/>
        <w:ind w:left="2" w:leftChars="1"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供应商</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所使用的资格</w:t>
      </w:r>
      <w:r>
        <w:rPr>
          <w:rFonts w:hint="eastAsia" w:hAnsi="宋体" w:eastAsia="宋体" w:cs="宋体"/>
          <w:color w:val="auto"/>
          <w:highlight w:val="none"/>
          <w:lang w:eastAsia="zh-CN"/>
        </w:rPr>
        <w:t>资质等</w:t>
      </w:r>
      <w:r>
        <w:rPr>
          <w:rFonts w:hint="eastAsia" w:ascii="宋体" w:hAnsi="宋体" w:eastAsia="宋体" w:cs="宋体"/>
          <w:color w:val="auto"/>
          <w:highlight w:val="none"/>
        </w:rPr>
        <w:t>企业认证必须为本法人所</w:t>
      </w:r>
      <w:r>
        <w:rPr>
          <w:rFonts w:hint="eastAsia" w:hAnsi="宋体" w:eastAsia="宋体" w:cs="宋体"/>
          <w:color w:val="auto"/>
          <w:highlight w:val="none"/>
          <w:lang w:eastAsia="zh-CN"/>
        </w:rPr>
        <w:t>合法</w:t>
      </w:r>
      <w:r>
        <w:rPr>
          <w:rFonts w:hint="eastAsia" w:ascii="宋体" w:hAnsi="宋体" w:eastAsia="宋体" w:cs="宋体"/>
          <w:color w:val="auto"/>
          <w:highlight w:val="none"/>
        </w:rPr>
        <w:t>拥有。</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供应商</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所使用的项目实施人员必须为本法人</w:t>
      </w:r>
      <w:r>
        <w:rPr>
          <w:rFonts w:hint="eastAsia" w:hAnsi="宋体" w:eastAsia="宋体" w:cs="宋体"/>
          <w:color w:val="auto"/>
          <w:highlight w:val="none"/>
          <w:lang w:eastAsia="zh-CN"/>
        </w:rPr>
        <w:t>员工或其控股公司</w:t>
      </w:r>
      <w:r>
        <w:rPr>
          <w:rFonts w:hint="eastAsia" w:ascii="宋体" w:hAnsi="宋体" w:eastAsia="宋体" w:cs="宋体"/>
          <w:color w:val="auto"/>
          <w:highlight w:val="none"/>
        </w:rPr>
        <w:t>员工</w:t>
      </w:r>
      <w:r>
        <w:rPr>
          <w:rFonts w:hint="eastAsia" w:hAnsi="宋体" w:eastAsia="宋体" w:cs="宋体"/>
          <w:color w:val="auto"/>
          <w:highlight w:val="none"/>
          <w:lang w:eastAsia="zh-CN"/>
        </w:rPr>
        <w:t>。</w:t>
      </w:r>
    </w:p>
    <w:p w14:paraId="498A0F22">
      <w:pPr>
        <w:pStyle w:val="14"/>
        <w:snapToGrid w:val="0"/>
        <w:spacing w:line="420" w:lineRule="exact"/>
        <w:ind w:left="2" w:leftChars="1"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供应商应按照</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文件的要求提交</w:t>
      </w:r>
      <w:r>
        <w:rPr>
          <w:rFonts w:hint="eastAsia" w:ascii="宋体" w:hAnsi="宋体" w:eastAsia="宋体" w:cs="宋体"/>
          <w:color w:val="auto"/>
          <w:highlight w:val="none"/>
          <w:lang w:eastAsia="zh-CN"/>
        </w:rPr>
        <w:t>相</w:t>
      </w:r>
      <w:r>
        <w:rPr>
          <w:rFonts w:hint="eastAsia" w:ascii="宋体" w:hAnsi="宋体" w:eastAsia="宋体" w:cs="宋体"/>
          <w:color w:val="auto"/>
          <w:highlight w:val="none"/>
        </w:rPr>
        <w:t>应文件，并对所提供的全部资料的真实性承担法律责任。</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供应商在</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活动中提供虚假材料，其</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无效，</w:t>
      </w:r>
      <w:r>
        <w:rPr>
          <w:rFonts w:hint="eastAsia" w:hAnsi="宋体" w:eastAsia="宋体" w:cs="宋体"/>
          <w:color w:val="auto"/>
          <w:highlight w:val="none"/>
          <w:lang w:eastAsia="zh-CN"/>
        </w:rPr>
        <w:t>采购方有权</w:t>
      </w:r>
      <w:r>
        <w:rPr>
          <w:rFonts w:hint="eastAsia" w:ascii="宋体" w:hAnsi="宋体" w:eastAsia="宋体" w:cs="宋体"/>
          <w:color w:val="auto"/>
          <w:highlight w:val="none"/>
        </w:rPr>
        <w:t>报监管部门查处；</w:t>
      </w:r>
      <w:r>
        <w:rPr>
          <w:rFonts w:hint="eastAsia" w:hAnsi="宋体" w:eastAsia="宋体" w:cs="宋体"/>
          <w:color w:val="auto"/>
          <w:highlight w:val="none"/>
          <w:lang w:eastAsia="zh-CN"/>
        </w:rPr>
        <w:t>若在供应商中标后</w:t>
      </w:r>
      <w:r>
        <w:rPr>
          <w:rFonts w:hint="eastAsia" w:ascii="宋体" w:hAnsi="宋体" w:eastAsia="宋体" w:cs="宋体"/>
          <w:color w:val="auto"/>
          <w:highlight w:val="none"/>
        </w:rPr>
        <w:t>发现的，成交人须依照规定双倍赔偿采购人，且民事赔偿并不免除违法</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的行政与刑事责任。</w:t>
      </w:r>
    </w:p>
    <w:p w14:paraId="4DC05D66">
      <w:pPr>
        <w:snapToGrid w:val="0"/>
        <w:spacing w:line="420" w:lineRule="exact"/>
        <w:ind w:firstLine="420" w:firstLineChars="200"/>
        <w:rPr>
          <w:rFonts w:hint="eastAsia" w:hAnsi="宋体" w:eastAsia="宋体"/>
          <w:b/>
          <w:color w:val="auto"/>
          <w:szCs w:val="21"/>
          <w:highlight w:val="none"/>
          <w:lang w:eastAsia="zh-CN"/>
        </w:rPr>
      </w:pPr>
      <w:r>
        <w:rPr>
          <w:rFonts w:hint="eastAsia" w:ascii="宋体" w:hAnsi="宋体"/>
          <w:color w:val="auto"/>
          <w:szCs w:val="20"/>
          <w:highlight w:val="none"/>
        </w:rPr>
        <w:t>5.</w:t>
      </w:r>
      <w:r>
        <w:rPr>
          <w:rFonts w:hint="eastAsia" w:ascii="宋体" w:hAnsi="宋体"/>
          <w:color w:val="auto"/>
          <w:szCs w:val="20"/>
          <w:highlight w:val="none"/>
          <w:lang w:eastAsia="zh-CN"/>
        </w:rPr>
        <w:t>投标</w:t>
      </w:r>
      <w:r>
        <w:rPr>
          <w:rFonts w:hint="eastAsia" w:ascii="宋体" w:hAnsi="宋体"/>
          <w:color w:val="auto"/>
          <w:szCs w:val="20"/>
          <w:highlight w:val="none"/>
        </w:rPr>
        <w:t>供应商认为</w:t>
      </w:r>
      <w:r>
        <w:rPr>
          <w:rFonts w:hint="eastAsia" w:ascii="宋体" w:hAnsi="宋体"/>
          <w:color w:val="auto"/>
          <w:szCs w:val="20"/>
          <w:highlight w:val="none"/>
          <w:lang w:eastAsia="zh-CN"/>
        </w:rPr>
        <w:t>投标</w:t>
      </w:r>
      <w:r>
        <w:rPr>
          <w:rFonts w:hint="eastAsia" w:ascii="宋体" w:hAnsi="宋体"/>
          <w:color w:val="auto"/>
          <w:szCs w:val="20"/>
          <w:highlight w:val="none"/>
        </w:rPr>
        <w:t>文件、采购过程或成交结果使自己的合法权益受到损害的，应当在知道或者应知其权益受到损害之日起</w:t>
      </w:r>
      <w:r>
        <w:rPr>
          <w:rFonts w:hint="eastAsia" w:ascii="宋体" w:hAnsi="宋体"/>
          <w:color w:val="auto"/>
          <w:szCs w:val="20"/>
          <w:highlight w:val="none"/>
          <w:lang w:val="en-US" w:eastAsia="zh-CN"/>
        </w:rPr>
        <w:t>三</w:t>
      </w:r>
      <w:r>
        <w:rPr>
          <w:rFonts w:hint="eastAsia" w:ascii="宋体" w:hAnsi="宋体"/>
          <w:color w:val="auto"/>
          <w:szCs w:val="20"/>
          <w:highlight w:val="none"/>
        </w:rPr>
        <w:t>个工作日内，以书面形式向采购人提出质疑。质疑书</w:t>
      </w:r>
      <w:r>
        <w:rPr>
          <w:rFonts w:hint="eastAsia" w:ascii="宋体" w:hAnsi="宋体"/>
          <w:color w:val="auto"/>
          <w:szCs w:val="20"/>
          <w:highlight w:val="none"/>
          <w:lang w:eastAsia="zh-CN"/>
        </w:rPr>
        <w:t>或</w:t>
      </w:r>
      <w:r>
        <w:rPr>
          <w:rFonts w:hint="eastAsia" w:ascii="宋体" w:hAnsi="宋体"/>
          <w:color w:val="auto"/>
          <w:szCs w:val="20"/>
          <w:highlight w:val="none"/>
        </w:rPr>
        <w:t>投诉书均应明确阐述自己合法权益受到损害的实质性内容，</w:t>
      </w:r>
      <w:r>
        <w:rPr>
          <w:rFonts w:hint="eastAsia" w:ascii="宋体" w:hAnsi="宋体"/>
          <w:color w:val="auto"/>
          <w:szCs w:val="20"/>
          <w:highlight w:val="none"/>
          <w:lang w:eastAsia="zh-CN"/>
        </w:rPr>
        <w:t>并</w:t>
      </w:r>
      <w:r>
        <w:rPr>
          <w:rFonts w:hint="eastAsia" w:ascii="宋体" w:hAnsi="宋体"/>
          <w:color w:val="auto"/>
          <w:szCs w:val="20"/>
          <w:highlight w:val="none"/>
        </w:rPr>
        <w:t>提供相关事实、依据和证据及其来源或线索</w:t>
      </w:r>
      <w:r>
        <w:rPr>
          <w:rFonts w:hint="eastAsia" w:ascii="宋体" w:hAnsi="宋体"/>
          <w:color w:val="auto"/>
          <w:szCs w:val="20"/>
          <w:highlight w:val="none"/>
          <w:lang w:eastAsia="zh-CN"/>
        </w:rPr>
        <w:t>。</w:t>
      </w:r>
    </w:p>
    <w:p w14:paraId="0D7600FC">
      <w:pPr>
        <w:pStyle w:val="14"/>
        <w:snapToGrid w:val="0"/>
        <w:spacing w:line="420" w:lineRule="exact"/>
        <w:ind w:firstLine="413" w:firstLineChars="196"/>
        <w:outlineLvl w:val="0"/>
        <w:rPr>
          <w:rFonts w:hAnsi="宋体"/>
          <w:b/>
          <w:color w:val="auto"/>
          <w:highlight w:val="none"/>
        </w:rPr>
      </w:pPr>
      <w:r>
        <w:rPr>
          <w:rFonts w:hint="eastAsia" w:hAnsi="宋体"/>
          <w:b/>
          <w:color w:val="auto"/>
          <w:szCs w:val="21"/>
          <w:highlight w:val="none"/>
        </w:rPr>
        <w:t>二、</w:t>
      </w:r>
      <w:r>
        <w:rPr>
          <w:rFonts w:hint="eastAsia" w:hAnsi="宋体"/>
          <w:b/>
          <w:color w:val="auto"/>
          <w:highlight w:val="none"/>
          <w:lang w:val="en-US" w:eastAsia="zh-CN"/>
        </w:rPr>
        <w:t>招标</w:t>
      </w:r>
      <w:r>
        <w:rPr>
          <w:rFonts w:hint="eastAsia" w:hAnsi="宋体"/>
          <w:b/>
          <w:color w:val="auto"/>
          <w:highlight w:val="none"/>
        </w:rPr>
        <w:t>文件</w:t>
      </w:r>
    </w:p>
    <w:p w14:paraId="1ECA8370">
      <w:pPr>
        <w:snapToGrid w:val="0"/>
        <w:spacing w:line="420" w:lineRule="exact"/>
        <w:ind w:firstLine="411" w:firstLineChars="196"/>
        <w:jc w:val="left"/>
        <w:rPr>
          <w:rFonts w:ascii="宋体"/>
          <w:color w:val="auto"/>
          <w:szCs w:val="21"/>
          <w:highlight w:val="none"/>
        </w:rPr>
      </w:pPr>
      <w:r>
        <w:rPr>
          <w:rFonts w:hint="eastAsia" w:ascii="宋体" w:hAnsi="宋体"/>
          <w:color w:val="auto"/>
          <w:szCs w:val="21"/>
          <w:highlight w:val="none"/>
        </w:rPr>
        <w:t>6.本</w:t>
      </w:r>
      <w:r>
        <w:rPr>
          <w:rFonts w:hint="eastAsia" w:ascii="宋体" w:hAnsi="宋体"/>
          <w:color w:val="auto"/>
          <w:szCs w:val="21"/>
          <w:highlight w:val="none"/>
          <w:lang w:eastAsia="zh-CN"/>
        </w:rPr>
        <w:t>投标</w:t>
      </w:r>
      <w:r>
        <w:rPr>
          <w:rFonts w:hint="eastAsia" w:ascii="宋体" w:hAnsi="宋体"/>
          <w:color w:val="auto"/>
          <w:szCs w:val="21"/>
          <w:highlight w:val="none"/>
        </w:rPr>
        <w:t>文件由</w:t>
      </w:r>
      <w:r>
        <w:rPr>
          <w:rFonts w:hint="eastAsia" w:ascii="宋体" w:hAnsi="宋体"/>
          <w:color w:val="auto"/>
          <w:szCs w:val="21"/>
          <w:highlight w:val="none"/>
          <w:lang w:eastAsia="zh-CN"/>
        </w:rPr>
        <w:t>六个部分</w:t>
      </w:r>
      <w:r>
        <w:rPr>
          <w:rFonts w:hint="eastAsia" w:ascii="宋体" w:hAnsi="宋体"/>
          <w:color w:val="auto"/>
          <w:szCs w:val="21"/>
          <w:highlight w:val="none"/>
        </w:rPr>
        <w:t>组成：</w:t>
      </w:r>
      <w:r>
        <w:rPr>
          <w:rFonts w:hint="eastAsia" w:ascii="宋体" w:hAnsi="宋体"/>
          <w:color w:val="auto"/>
          <w:szCs w:val="21"/>
          <w:highlight w:val="none"/>
          <w:lang w:eastAsia="zh-CN"/>
        </w:rPr>
        <w:t>公开招标</w:t>
      </w:r>
      <w:r>
        <w:rPr>
          <w:rFonts w:hint="eastAsia" w:ascii="宋体" w:hAnsi="宋体"/>
          <w:color w:val="auto"/>
          <w:szCs w:val="21"/>
          <w:highlight w:val="none"/>
        </w:rPr>
        <w:t>公告；</w:t>
      </w:r>
      <w:r>
        <w:rPr>
          <w:rFonts w:hint="eastAsia" w:ascii="宋体" w:hAnsi="宋体"/>
          <w:color w:val="auto"/>
          <w:szCs w:val="21"/>
          <w:highlight w:val="none"/>
          <w:lang w:eastAsia="zh-CN"/>
        </w:rPr>
        <w:t>投标</w:t>
      </w:r>
      <w:r>
        <w:rPr>
          <w:rFonts w:hint="eastAsia" w:ascii="宋体" w:hAnsi="宋体"/>
          <w:color w:val="auto"/>
          <w:szCs w:val="21"/>
          <w:highlight w:val="none"/>
        </w:rPr>
        <w:t>须知；</w:t>
      </w:r>
      <w:r>
        <w:rPr>
          <w:rFonts w:hint="eastAsia" w:ascii="宋体" w:hAnsi="宋体"/>
          <w:color w:val="auto"/>
          <w:szCs w:val="21"/>
          <w:highlight w:val="none"/>
          <w:lang w:eastAsia="zh-CN"/>
        </w:rPr>
        <w:t>采购</w:t>
      </w:r>
      <w:r>
        <w:rPr>
          <w:rFonts w:hint="eastAsia" w:ascii="宋体" w:hAnsi="宋体"/>
          <w:color w:val="auto"/>
          <w:szCs w:val="21"/>
          <w:highlight w:val="none"/>
        </w:rPr>
        <w:t>需求；评审办法</w:t>
      </w:r>
      <w:r>
        <w:rPr>
          <w:rFonts w:hint="eastAsia" w:ascii="宋体" w:hAnsi="宋体"/>
          <w:color w:val="auto"/>
          <w:szCs w:val="21"/>
          <w:highlight w:val="none"/>
          <w:lang w:eastAsia="zh-CN"/>
        </w:rPr>
        <w:t>；</w:t>
      </w:r>
      <w:r>
        <w:rPr>
          <w:rFonts w:hint="eastAsia" w:ascii="宋体" w:hAnsi="宋体"/>
          <w:color w:val="auto"/>
          <w:szCs w:val="21"/>
          <w:highlight w:val="none"/>
        </w:rPr>
        <w:t>响应文件格式；合同主要条款。</w:t>
      </w:r>
    </w:p>
    <w:p w14:paraId="0C711211">
      <w:pPr>
        <w:tabs>
          <w:tab w:val="left" w:pos="720"/>
          <w:tab w:val="left" w:pos="840"/>
        </w:tabs>
        <w:snapToGrid w:val="0"/>
        <w:spacing w:before="156" w:beforeLines="50" w:line="420" w:lineRule="exact"/>
        <w:ind w:firstLine="411" w:firstLineChars="196"/>
        <w:rPr>
          <w:rFonts w:asci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eastAsia="zh-CN"/>
        </w:rPr>
        <w:t>投标</w:t>
      </w:r>
      <w:r>
        <w:rPr>
          <w:rFonts w:hint="eastAsia" w:ascii="宋体" w:hAnsi="宋体"/>
          <w:color w:val="auto"/>
          <w:szCs w:val="21"/>
          <w:highlight w:val="none"/>
        </w:rPr>
        <w:t>文件的澄清与修改</w:t>
      </w:r>
    </w:p>
    <w:p w14:paraId="3A617F7A">
      <w:pPr>
        <w:snapToGrid w:val="0"/>
        <w:spacing w:line="420" w:lineRule="exact"/>
        <w:ind w:firstLine="420" w:firstLineChars="200"/>
        <w:rPr>
          <w:rFonts w:ascii="宋体" w:hAnsi="宋体"/>
          <w:color w:val="auto"/>
          <w:szCs w:val="20"/>
          <w:highlight w:val="none"/>
        </w:rPr>
      </w:pPr>
      <w:r>
        <w:rPr>
          <w:rFonts w:hint="eastAsia" w:ascii="宋体" w:hAnsi="宋体"/>
          <w:color w:val="auto"/>
          <w:szCs w:val="20"/>
          <w:highlight w:val="none"/>
          <w:lang w:val="en-US" w:eastAsia="zh-CN"/>
        </w:rPr>
        <w:t>7</w:t>
      </w:r>
      <w:r>
        <w:rPr>
          <w:rFonts w:hint="eastAsia" w:ascii="宋体" w:hAnsi="宋体"/>
          <w:color w:val="auto"/>
          <w:szCs w:val="20"/>
          <w:highlight w:val="none"/>
        </w:rPr>
        <w:t>.</w:t>
      </w:r>
      <w:r>
        <w:rPr>
          <w:rFonts w:ascii="宋体" w:hAnsi="宋体"/>
          <w:color w:val="auto"/>
          <w:szCs w:val="20"/>
          <w:highlight w:val="none"/>
        </w:rPr>
        <w:t>1</w:t>
      </w:r>
      <w:r>
        <w:rPr>
          <w:rFonts w:hint="eastAsia" w:ascii="宋体" w:hAnsi="宋体"/>
          <w:bCs/>
          <w:color w:val="auto"/>
          <w:szCs w:val="20"/>
          <w:highlight w:val="none"/>
          <w:lang w:eastAsia="zh-CN"/>
        </w:rPr>
        <w:t>投标</w:t>
      </w:r>
      <w:r>
        <w:rPr>
          <w:rFonts w:hint="eastAsia" w:ascii="宋体" w:hAnsi="宋体"/>
          <w:bCs/>
          <w:color w:val="auto"/>
          <w:szCs w:val="20"/>
          <w:highlight w:val="none"/>
        </w:rPr>
        <w:t>供应商应认真阅读本</w:t>
      </w:r>
      <w:r>
        <w:rPr>
          <w:rFonts w:hint="eastAsia" w:ascii="宋体" w:hAnsi="宋体"/>
          <w:bCs/>
          <w:color w:val="auto"/>
          <w:szCs w:val="20"/>
          <w:highlight w:val="none"/>
          <w:lang w:val="en-US" w:eastAsia="zh-CN"/>
        </w:rPr>
        <w:t>招标</w:t>
      </w:r>
      <w:r>
        <w:rPr>
          <w:rFonts w:hint="eastAsia" w:ascii="宋体" w:hAnsi="宋体"/>
          <w:bCs/>
          <w:color w:val="auto"/>
          <w:szCs w:val="20"/>
          <w:highlight w:val="none"/>
        </w:rPr>
        <w:t>文件，发现其中有误或有不合理要求的，</w:t>
      </w:r>
      <w:r>
        <w:rPr>
          <w:rFonts w:hint="eastAsia" w:ascii="宋体" w:hAnsi="宋体"/>
          <w:bCs/>
          <w:color w:val="auto"/>
          <w:szCs w:val="20"/>
          <w:highlight w:val="none"/>
          <w:lang w:eastAsia="zh-CN"/>
        </w:rPr>
        <w:t>投标</w:t>
      </w:r>
      <w:r>
        <w:rPr>
          <w:rFonts w:hint="eastAsia" w:ascii="宋体" w:hAnsi="宋体"/>
          <w:bCs/>
          <w:color w:val="auto"/>
          <w:szCs w:val="20"/>
          <w:highlight w:val="none"/>
        </w:rPr>
        <w:t>供应商须</w:t>
      </w:r>
      <w:r>
        <w:rPr>
          <w:rFonts w:hint="eastAsia" w:ascii="宋体" w:hAnsi="宋体"/>
          <w:bCs/>
          <w:color w:val="auto"/>
          <w:szCs w:val="20"/>
          <w:highlight w:val="none"/>
          <w:u w:val="single"/>
        </w:rPr>
        <w:t>在</w:t>
      </w:r>
      <w:r>
        <w:rPr>
          <w:rFonts w:hint="eastAsia" w:ascii="宋体" w:hAnsi="宋体"/>
          <w:bCs/>
          <w:color w:val="auto"/>
          <w:szCs w:val="20"/>
          <w:highlight w:val="none"/>
          <w:u w:val="single"/>
          <w:lang w:eastAsia="zh-CN"/>
        </w:rPr>
        <w:t>投标</w:t>
      </w:r>
      <w:r>
        <w:rPr>
          <w:rFonts w:hint="eastAsia" w:ascii="宋体" w:hAnsi="宋体"/>
          <w:bCs/>
          <w:color w:val="auto"/>
          <w:szCs w:val="20"/>
          <w:highlight w:val="none"/>
          <w:u w:val="single"/>
        </w:rPr>
        <w:t>截止时间前的</w:t>
      </w:r>
      <w:r>
        <w:rPr>
          <w:rFonts w:hint="eastAsia" w:ascii="宋体" w:hAnsi="宋体"/>
          <w:bCs/>
          <w:color w:val="auto"/>
          <w:szCs w:val="20"/>
          <w:highlight w:val="none"/>
          <w:u w:val="single"/>
          <w:lang w:eastAsia="zh-CN"/>
        </w:rPr>
        <w:t>工作日时间</w:t>
      </w:r>
      <w:r>
        <w:rPr>
          <w:rFonts w:hint="eastAsia" w:ascii="宋体" w:hAnsi="宋体"/>
          <w:bCs/>
          <w:color w:val="auto"/>
          <w:szCs w:val="20"/>
          <w:highlight w:val="none"/>
        </w:rPr>
        <w:t>以书面形式要求采购单位澄清</w:t>
      </w:r>
      <w:r>
        <w:rPr>
          <w:rFonts w:hint="eastAsia" w:ascii="宋体" w:hAnsi="宋体"/>
          <w:color w:val="auto"/>
          <w:szCs w:val="20"/>
          <w:highlight w:val="none"/>
        </w:rPr>
        <w:t>。采购</w:t>
      </w:r>
      <w:r>
        <w:rPr>
          <w:rFonts w:hint="eastAsia" w:ascii="宋体" w:hAnsi="宋体"/>
          <w:color w:val="auto"/>
          <w:szCs w:val="20"/>
          <w:highlight w:val="none"/>
          <w:lang w:val="en-US" w:eastAsia="zh-CN"/>
        </w:rPr>
        <w:t>人</w:t>
      </w:r>
      <w:r>
        <w:rPr>
          <w:rFonts w:hint="eastAsia" w:ascii="宋体" w:hAnsi="宋体"/>
          <w:color w:val="auto"/>
          <w:szCs w:val="20"/>
          <w:highlight w:val="none"/>
        </w:rPr>
        <w:t>对已发出的</w:t>
      </w:r>
      <w:r>
        <w:rPr>
          <w:rFonts w:hint="eastAsia" w:ascii="宋体" w:hAnsi="宋体"/>
          <w:color w:val="auto"/>
          <w:szCs w:val="20"/>
          <w:highlight w:val="none"/>
          <w:lang w:val="en-US" w:eastAsia="zh-CN"/>
        </w:rPr>
        <w:t>招标</w:t>
      </w:r>
      <w:r>
        <w:rPr>
          <w:rFonts w:hint="eastAsia" w:ascii="宋体" w:hAnsi="宋体"/>
          <w:color w:val="auto"/>
          <w:szCs w:val="20"/>
          <w:highlight w:val="none"/>
        </w:rPr>
        <w:t>文件进行必要澄清、答复、修改或补充的，应当在</w:t>
      </w:r>
      <w:r>
        <w:rPr>
          <w:rFonts w:hint="eastAsia" w:ascii="宋体" w:hAnsi="宋体"/>
          <w:color w:val="auto"/>
          <w:szCs w:val="20"/>
          <w:highlight w:val="none"/>
          <w:lang w:eastAsia="zh-CN"/>
        </w:rPr>
        <w:t>招标</w:t>
      </w:r>
      <w:r>
        <w:rPr>
          <w:rFonts w:hint="eastAsia" w:ascii="宋体" w:hAnsi="宋体"/>
          <w:color w:val="auto"/>
          <w:szCs w:val="20"/>
          <w:highlight w:val="none"/>
        </w:rPr>
        <w:t>文件要求提交首次响应文件递交截止时间</w:t>
      </w:r>
      <w:r>
        <w:rPr>
          <w:rFonts w:hint="eastAsia" w:ascii="宋体" w:hAnsi="宋体"/>
          <w:color w:val="auto"/>
          <w:szCs w:val="20"/>
          <w:highlight w:val="none"/>
          <w:lang w:val="en-US" w:eastAsia="zh-CN"/>
        </w:rPr>
        <w:t>三</w:t>
      </w:r>
      <w:r>
        <w:rPr>
          <w:rFonts w:hint="eastAsia" w:ascii="宋体" w:hAnsi="宋体"/>
          <w:color w:val="auto"/>
          <w:szCs w:val="20"/>
          <w:highlight w:val="none"/>
        </w:rPr>
        <w:t>日前</w:t>
      </w:r>
      <w:r>
        <w:rPr>
          <w:rFonts w:hint="eastAsia" w:ascii="宋体" w:hAnsi="宋体"/>
          <w:color w:val="auto"/>
          <w:szCs w:val="20"/>
          <w:highlight w:val="none"/>
          <w:lang w:eastAsia="zh-CN"/>
        </w:rPr>
        <w:t>（</w:t>
      </w:r>
      <w:r>
        <w:rPr>
          <w:rFonts w:hint="eastAsia" w:ascii="宋体" w:hAnsi="宋体"/>
          <w:color w:val="auto"/>
          <w:szCs w:val="20"/>
          <w:highlight w:val="none"/>
          <w:lang w:val="en-US" w:eastAsia="zh-CN"/>
        </w:rPr>
        <w:t>若截止时间不足三日则顺延截止时间</w:t>
      </w:r>
      <w:r>
        <w:rPr>
          <w:rFonts w:hint="eastAsia" w:ascii="宋体" w:hAnsi="宋体" w:eastAsia="宋体" w:cs="Times New Roman"/>
          <w:color w:val="auto"/>
          <w:szCs w:val="20"/>
          <w:highlight w:val="none"/>
          <w:lang w:eastAsia="zh-CN"/>
        </w:rPr>
        <w:t>），在</w:t>
      </w:r>
      <w:r>
        <w:rPr>
          <w:rFonts w:hint="eastAsia" w:ascii="宋体" w:hAnsi="宋体" w:eastAsia="宋体" w:cs="Times New Roman"/>
          <w:color w:val="auto"/>
          <w:szCs w:val="20"/>
          <w:highlight w:val="none"/>
        </w:rPr>
        <w:t>指定的采购信息发布媒体上发布更正公告，并以书面形式通知所有</w:t>
      </w:r>
      <w:r>
        <w:rPr>
          <w:rFonts w:hint="eastAsia" w:ascii="宋体" w:hAnsi="宋体" w:eastAsia="宋体" w:cs="Times New Roman"/>
          <w:color w:val="auto"/>
          <w:szCs w:val="20"/>
          <w:highlight w:val="none"/>
          <w:lang w:eastAsia="zh-CN"/>
        </w:rPr>
        <w:t>招标</w:t>
      </w:r>
      <w:r>
        <w:rPr>
          <w:rFonts w:hint="eastAsia" w:ascii="宋体" w:hAnsi="宋体" w:eastAsia="宋体" w:cs="Times New Roman"/>
          <w:color w:val="auto"/>
          <w:szCs w:val="20"/>
          <w:highlight w:val="none"/>
        </w:rPr>
        <w:t>文件收受人</w:t>
      </w:r>
      <w:r>
        <w:rPr>
          <w:rFonts w:hint="eastAsia" w:ascii="宋体" w:hAnsi="宋体" w:eastAsia="宋体" w:cs="Times New Roman"/>
          <w:color w:val="auto"/>
          <w:szCs w:val="20"/>
          <w:highlight w:val="none"/>
          <w:lang w:val="en-US" w:eastAsia="zh-CN"/>
        </w:rPr>
        <w:t>,</w:t>
      </w:r>
      <w:r>
        <w:rPr>
          <w:rFonts w:hint="eastAsia" w:ascii="宋体" w:hAnsi="宋体" w:eastAsia="宋体" w:cs="Times New Roman"/>
          <w:color w:val="auto"/>
          <w:szCs w:val="20"/>
          <w:highlight w:val="none"/>
        </w:rPr>
        <w:t>该澄清或者修改的内容为</w:t>
      </w:r>
      <w:r>
        <w:rPr>
          <w:rFonts w:hint="eastAsia" w:ascii="宋体" w:hAnsi="宋体"/>
          <w:color w:val="auto"/>
          <w:szCs w:val="20"/>
          <w:highlight w:val="none"/>
          <w:lang w:eastAsia="zh-CN"/>
        </w:rPr>
        <w:t>招标</w:t>
      </w:r>
      <w:r>
        <w:rPr>
          <w:rFonts w:hint="eastAsia" w:ascii="宋体" w:hAnsi="宋体"/>
          <w:color w:val="auto"/>
          <w:szCs w:val="20"/>
          <w:highlight w:val="none"/>
        </w:rPr>
        <w:t>文件的组成部分。</w:t>
      </w:r>
    </w:p>
    <w:p w14:paraId="649904A4">
      <w:pPr>
        <w:snapToGrid w:val="0"/>
        <w:spacing w:line="420" w:lineRule="exact"/>
        <w:ind w:firstLine="420" w:firstLineChars="200"/>
        <w:rPr>
          <w:rFonts w:ascii="宋体" w:hAnsi="宋体"/>
          <w:color w:val="auto"/>
          <w:szCs w:val="20"/>
          <w:highlight w:val="none"/>
        </w:rPr>
      </w:pPr>
      <w:r>
        <w:rPr>
          <w:rFonts w:hint="eastAsia" w:ascii="宋体" w:hAnsi="宋体"/>
          <w:color w:val="auto"/>
          <w:szCs w:val="20"/>
          <w:highlight w:val="none"/>
          <w:lang w:val="en-US" w:eastAsia="zh-CN"/>
        </w:rPr>
        <w:t>7</w:t>
      </w:r>
      <w:r>
        <w:rPr>
          <w:rFonts w:hint="eastAsia" w:ascii="宋体" w:hAnsi="宋体"/>
          <w:color w:val="auto"/>
          <w:szCs w:val="20"/>
          <w:highlight w:val="none"/>
        </w:rPr>
        <w:t>.</w:t>
      </w:r>
      <w:r>
        <w:rPr>
          <w:rFonts w:hint="eastAsia" w:ascii="宋体" w:hAnsi="宋体"/>
          <w:color w:val="auto"/>
          <w:szCs w:val="20"/>
          <w:highlight w:val="none"/>
          <w:lang w:val="en-US" w:eastAsia="zh-CN"/>
        </w:rPr>
        <w:t>2</w:t>
      </w:r>
      <w:r>
        <w:rPr>
          <w:rFonts w:hint="eastAsia" w:ascii="宋体" w:hAnsi="宋体"/>
          <w:color w:val="auto"/>
          <w:szCs w:val="20"/>
          <w:highlight w:val="none"/>
        </w:rPr>
        <w:t>当</w:t>
      </w:r>
      <w:r>
        <w:rPr>
          <w:rFonts w:hint="eastAsia" w:ascii="宋体" w:hAnsi="宋体"/>
          <w:color w:val="auto"/>
          <w:szCs w:val="20"/>
          <w:highlight w:val="none"/>
          <w:lang w:eastAsia="zh-CN"/>
        </w:rPr>
        <w:t>招标</w:t>
      </w:r>
      <w:r>
        <w:rPr>
          <w:rFonts w:hint="eastAsia" w:ascii="宋体" w:hAnsi="宋体"/>
          <w:color w:val="auto"/>
          <w:szCs w:val="20"/>
          <w:highlight w:val="none"/>
        </w:rPr>
        <w:t>文件与</w:t>
      </w:r>
      <w:r>
        <w:rPr>
          <w:rFonts w:hint="eastAsia" w:ascii="宋体" w:hAnsi="宋体"/>
          <w:color w:val="auto"/>
          <w:szCs w:val="20"/>
          <w:highlight w:val="none"/>
          <w:lang w:eastAsia="zh-CN"/>
        </w:rPr>
        <w:t>招标</w:t>
      </w:r>
      <w:r>
        <w:rPr>
          <w:rFonts w:hint="eastAsia" w:ascii="宋体" w:hAnsi="宋体"/>
          <w:color w:val="auto"/>
          <w:szCs w:val="20"/>
          <w:highlight w:val="none"/>
        </w:rPr>
        <w:t>文件的答复、澄清、修改、补充通知就同一内容的表述不一致时，以最后发出的书面文件为准</w:t>
      </w:r>
      <w:r>
        <w:rPr>
          <w:rFonts w:hint="eastAsia" w:ascii="宋体" w:hAnsi="宋体"/>
          <w:color w:val="auto"/>
          <w:szCs w:val="20"/>
          <w:highlight w:val="none"/>
          <w:lang w:val="en-US" w:eastAsia="zh-CN"/>
        </w:rPr>
        <w:t>,</w:t>
      </w:r>
      <w:r>
        <w:rPr>
          <w:rFonts w:hint="eastAsia" w:ascii="宋体" w:hAnsi="宋体"/>
          <w:color w:val="auto"/>
          <w:szCs w:val="20"/>
          <w:highlight w:val="none"/>
        </w:rPr>
        <w:t>采购人非通过</w:t>
      </w:r>
      <w:r>
        <w:rPr>
          <w:rFonts w:hint="eastAsia" w:ascii="宋体" w:hAnsi="宋体"/>
          <w:color w:val="auto"/>
          <w:szCs w:val="20"/>
          <w:highlight w:val="none"/>
          <w:lang w:val="en-US" w:eastAsia="zh-CN"/>
        </w:rPr>
        <w:t>官网</w:t>
      </w:r>
      <w:r>
        <w:rPr>
          <w:rFonts w:hint="eastAsia" w:ascii="宋体" w:hAnsi="宋体"/>
          <w:color w:val="auto"/>
          <w:szCs w:val="20"/>
          <w:highlight w:val="none"/>
        </w:rPr>
        <w:t>，不得擅自澄清、答复、修改或补充</w:t>
      </w:r>
      <w:r>
        <w:rPr>
          <w:rFonts w:hint="eastAsia" w:ascii="宋体" w:hAnsi="宋体"/>
          <w:color w:val="auto"/>
          <w:szCs w:val="20"/>
          <w:highlight w:val="none"/>
          <w:lang w:eastAsia="zh-CN"/>
        </w:rPr>
        <w:t>招标</w:t>
      </w:r>
      <w:r>
        <w:rPr>
          <w:rFonts w:hint="eastAsia" w:ascii="宋体" w:hAnsi="宋体"/>
          <w:color w:val="auto"/>
          <w:szCs w:val="20"/>
          <w:highlight w:val="none"/>
        </w:rPr>
        <w:t>文件。</w:t>
      </w:r>
    </w:p>
    <w:p w14:paraId="6EB9A2CD">
      <w:pPr>
        <w:snapToGrid w:val="0"/>
        <w:spacing w:line="420" w:lineRule="exact"/>
        <w:ind w:firstLine="420" w:firstLineChars="200"/>
        <w:rPr>
          <w:rFonts w:hint="eastAsia" w:ascii="宋体" w:hAnsi="宋体"/>
          <w:b/>
          <w:color w:val="auto"/>
          <w:szCs w:val="21"/>
          <w:highlight w:val="none"/>
        </w:rPr>
      </w:pPr>
      <w:r>
        <w:rPr>
          <w:rFonts w:hint="eastAsia" w:ascii="宋体" w:hAnsi="宋体"/>
          <w:color w:val="auto"/>
          <w:szCs w:val="20"/>
          <w:highlight w:val="none"/>
          <w:lang w:val="en-US" w:eastAsia="zh-CN"/>
        </w:rPr>
        <w:t>7</w:t>
      </w:r>
      <w:r>
        <w:rPr>
          <w:rFonts w:hint="eastAsia" w:ascii="宋体" w:hAnsi="宋体"/>
          <w:color w:val="auto"/>
          <w:szCs w:val="20"/>
          <w:highlight w:val="none"/>
        </w:rPr>
        <w:t>.</w:t>
      </w:r>
      <w:r>
        <w:rPr>
          <w:rFonts w:hint="eastAsia" w:ascii="宋体" w:hAnsi="宋体"/>
          <w:color w:val="auto"/>
          <w:szCs w:val="20"/>
          <w:highlight w:val="none"/>
          <w:lang w:val="en-US" w:eastAsia="zh-CN"/>
        </w:rPr>
        <w:t>3</w:t>
      </w:r>
      <w:r>
        <w:rPr>
          <w:rFonts w:hint="eastAsia" w:ascii="宋体" w:hAnsi="宋体"/>
          <w:color w:val="auto"/>
          <w:szCs w:val="20"/>
          <w:highlight w:val="none"/>
        </w:rPr>
        <w:t>采购人可以视采购具体情况，延长</w:t>
      </w:r>
      <w:r>
        <w:rPr>
          <w:rFonts w:hint="eastAsia" w:ascii="宋体" w:hAnsi="宋体"/>
          <w:color w:val="auto"/>
          <w:szCs w:val="20"/>
          <w:highlight w:val="none"/>
          <w:lang w:eastAsia="zh-CN"/>
        </w:rPr>
        <w:t>招标</w:t>
      </w:r>
      <w:r>
        <w:rPr>
          <w:rFonts w:hint="eastAsia" w:ascii="宋体" w:hAnsi="宋体"/>
          <w:color w:val="auto"/>
          <w:szCs w:val="20"/>
          <w:highlight w:val="none"/>
        </w:rPr>
        <w:t>截止时间和开标时间，应将变更时间书面通知所有</w:t>
      </w:r>
      <w:r>
        <w:rPr>
          <w:rFonts w:hint="eastAsia" w:ascii="宋体" w:hAnsi="宋体"/>
          <w:color w:val="auto"/>
          <w:szCs w:val="20"/>
          <w:highlight w:val="none"/>
          <w:lang w:eastAsia="zh-CN"/>
        </w:rPr>
        <w:t>招标</w:t>
      </w:r>
      <w:r>
        <w:rPr>
          <w:rFonts w:hint="eastAsia" w:ascii="宋体" w:hAnsi="宋体"/>
          <w:color w:val="auto"/>
          <w:szCs w:val="20"/>
          <w:highlight w:val="none"/>
        </w:rPr>
        <w:t>文件收受人，并在采购信息发布媒体上发布变更公告。</w:t>
      </w:r>
    </w:p>
    <w:p w14:paraId="3ED5CF07">
      <w:pPr>
        <w:spacing w:line="4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w:t>
      </w:r>
      <w:r>
        <w:rPr>
          <w:rFonts w:hint="eastAsia" w:ascii="宋体" w:hAnsi="宋体"/>
          <w:b/>
          <w:color w:val="auto"/>
          <w:szCs w:val="21"/>
          <w:highlight w:val="none"/>
          <w:lang w:eastAsia="zh-CN"/>
        </w:rPr>
        <w:t>公开招标</w:t>
      </w:r>
      <w:r>
        <w:rPr>
          <w:rFonts w:hint="eastAsia" w:ascii="宋体" w:hAnsi="宋体"/>
          <w:b/>
          <w:color w:val="auto"/>
          <w:szCs w:val="21"/>
          <w:highlight w:val="none"/>
        </w:rPr>
        <w:t>响应文件的编制</w:t>
      </w:r>
    </w:p>
    <w:p w14:paraId="57060E50">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.1</w:t>
      </w:r>
      <w:r>
        <w:rPr>
          <w:rFonts w:hint="eastAsia" w:ascii="宋体" w:hAnsi="宋体"/>
          <w:color w:val="auto"/>
          <w:szCs w:val="21"/>
          <w:highlight w:val="none"/>
          <w:lang w:eastAsia="zh-CN"/>
        </w:rPr>
        <w:t>公开招标</w:t>
      </w:r>
      <w:r>
        <w:rPr>
          <w:rFonts w:hint="eastAsia" w:ascii="宋体" w:hAnsi="宋体"/>
          <w:color w:val="auto"/>
          <w:szCs w:val="21"/>
          <w:highlight w:val="none"/>
        </w:rPr>
        <w:t>响应文件应由</w:t>
      </w:r>
      <w:r>
        <w:rPr>
          <w:rFonts w:hint="eastAsia" w:ascii="宋体" w:hAnsi="宋体"/>
          <w:color w:val="auto"/>
          <w:szCs w:val="21"/>
          <w:highlight w:val="none"/>
          <w:lang w:eastAsia="zh-CN"/>
        </w:rPr>
        <w:t>资格性响应</w:t>
      </w:r>
      <w:r>
        <w:rPr>
          <w:rFonts w:hint="eastAsia" w:ascii="宋体" w:hAnsi="宋体"/>
          <w:color w:val="auto"/>
          <w:szCs w:val="21"/>
          <w:highlight w:val="none"/>
        </w:rPr>
        <w:t>文件和商务技术</w:t>
      </w:r>
      <w:r>
        <w:rPr>
          <w:rFonts w:hint="eastAsia" w:ascii="宋体" w:hAnsi="宋体"/>
          <w:color w:val="auto"/>
          <w:szCs w:val="21"/>
          <w:highlight w:val="none"/>
          <w:lang w:eastAsia="zh-CN"/>
        </w:rPr>
        <w:t>响应</w:t>
      </w:r>
      <w:r>
        <w:rPr>
          <w:rFonts w:hint="eastAsia" w:ascii="宋体" w:hAnsi="宋体"/>
          <w:color w:val="auto"/>
          <w:szCs w:val="21"/>
          <w:highlight w:val="none"/>
        </w:rPr>
        <w:t>文件两个部分组成</w:t>
      </w:r>
      <w:r>
        <w:rPr>
          <w:rFonts w:hint="eastAsia" w:ascii="宋体" w:hAnsi="宋体"/>
          <w:color w:val="auto"/>
          <w:szCs w:val="21"/>
          <w:highlight w:val="none"/>
          <w:lang w:eastAsia="zh-CN"/>
        </w:rPr>
        <w:t>（详见第五章</w:t>
      </w:r>
      <w:r>
        <w:rPr>
          <w:rFonts w:hint="eastAsia" w:ascii="宋体" w:hAnsi="宋体"/>
          <w:color w:val="auto"/>
          <w:szCs w:val="21"/>
          <w:highlight w:val="none"/>
          <w:lang w:val="en-US" w:eastAsia="zh-CN"/>
        </w:rPr>
        <w:t xml:space="preserve"> 响应文件格式），</w:t>
      </w:r>
      <w:r>
        <w:rPr>
          <w:rFonts w:hint="eastAsia" w:ascii="宋体" w:hAnsi="宋体"/>
          <w:color w:val="auto"/>
          <w:szCs w:val="21"/>
          <w:highlight w:val="none"/>
          <w:lang w:eastAsia="zh-CN"/>
        </w:rPr>
        <w:t>投标</w:t>
      </w:r>
      <w:r>
        <w:rPr>
          <w:rFonts w:hint="eastAsia" w:ascii="宋体" w:hAnsi="宋体"/>
          <w:color w:val="auto"/>
          <w:szCs w:val="21"/>
          <w:highlight w:val="none"/>
        </w:rPr>
        <w:t>供应商应按要求装订和封装</w:t>
      </w:r>
      <w:r>
        <w:rPr>
          <w:rFonts w:hint="eastAsia" w:ascii="宋体" w:hAnsi="宋体"/>
          <w:color w:val="auto"/>
          <w:szCs w:val="21"/>
          <w:highlight w:val="none"/>
          <w:lang w:eastAsia="zh-CN"/>
        </w:rPr>
        <w:t>响应文件</w:t>
      </w:r>
      <w:r>
        <w:rPr>
          <w:rFonts w:hint="eastAsia" w:ascii="宋体" w:hAnsi="宋体"/>
          <w:color w:val="auto"/>
          <w:szCs w:val="21"/>
          <w:highlight w:val="none"/>
        </w:rPr>
        <w:t>。</w:t>
      </w:r>
    </w:p>
    <w:p w14:paraId="1E0DEBB0">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.2</w:t>
      </w:r>
      <w:r>
        <w:rPr>
          <w:rFonts w:hint="eastAsia" w:ascii="宋体" w:hAnsi="宋体"/>
          <w:color w:val="auto"/>
          <w:szCs w:val="21"/>
          <w:highlight w:val="none"/>
          <w:lang w:eastAsia="zh-CN"/>
        </w:rPr>
        <w:t>投标</w:t>
      </w:r>
      <w:r>
        <w:rPr>
          <w:rFonts w:hint="eastAsia" w:ascii="宋体" w:hAnsi="宋体"/>
          <w:color w:val="auto"/>
          <w:szCs w:val="21"/>
          <w:highlight w:val="none"/>
        </w:rPr>
        <w:t>供应商提交的</w:t>
      </w:r>
      <w:r>
        <w:rPr>
          <w:rFonts w:hint="eastAsia" w:ascii="宋体" w:hAnsi="宋体"/>
          <w:color w:val="auto"/>
          <w:szCs w:val="21"/>
          <w:highlight w:val="none"/>
          <w:lang w:eastAsia="zh-CN"/>
        </w:rPr>
        <w:t>公开招标</w:t>
      </w:r>
      <w:r>
        <w:rPr>
          <w:rFonts w:hint="eastAsia" w:ascii="宋体" w:hAnsi="宋体"/>
          <w:color w:val="auto"/>
          <w:szCs w:val="21"/>
          <w:highlight w:val="none"/>
        </w:rPr>
        <w:t>响应文件以及</w:t>
      </w:r>
      <w:r>
        <w:rPr>
          <w:rFonts w:hint="eastAsia" w:ascii="宋体" w:hAnsi="宋体"/>
          <w:color w:val="auto"/>
          <w:szCs w:val="21"/>
          <w:highlight w:val="none"/>
          <w:lang w:eastAsia="zh-CN"/>
        </w:rPr>
        <w:t>投标供应商</w:t>
      </w:r>
      <w:r>
        <w:rPr>
          <w:rFonts w:hint="eastAsia" w:ascii="宋体" w:hAnsi="宋体"/>
          <w:color w:val="auto"/>
          <w:szCs w:val="21"/>
          <w:highlight w:val="none"/>
        </w:rPr>
        <w:t>与</w:t>
      </w:r>
      <w:r>
        <w:rPr>
          <w:rFonts w:hint="eastAsia" w:ascii="宋体" w:hAnsi="宋体" w:eastAsia="宋体" w:cs="Times New Roman"/>
          <w:color w:val="auto"/>
          <w:szCs w:val="21"/>
          <w:highlight w:val="none"/>
          <w:lang w:eastAsia="zh-CN"/>
        </w:rPr>
        <w:t>采购人</w:t>
      </w:r>
      <w:r>
        <w:rPr>
          <w:rFonts w:hint="eastAsia" w:ascii="宋体" w:hAnsi="宋体"/>
          <w:color w:val="auto"/>
          <w:szCs w:val="21"/>
          <w:highlight w:val="none"/>
        </w:rPr>
        <w:t>就有关</w:t>
      </w:r>
      <w:r>
        <w:rPr>
          <w:rFonts w:hint="eastAsia" w:ascii="宋体" w:hAnsi="宋体"/>
          <w:color w:val="auto"/>
          <w:szCs w:val="21"/>
          <w:highlight w:val="none"/>
          <w:lang w:eastAsia="zh-CN"/>
        </w:rPr>
        <w:t>招标</w:t>
      </w:r>
      <w:r>
        <w:rPr>
          <w:rFonts w:hint="eastAsia" w:ascii="宋体" w:hAnsi="宋体"/>
          <w:color w:val="auto"/>
          <w:szCs w:val="21"/>
          <w:highlight w:val="none"/>
        </w:rPr>
        <w:t>的所有来往函电均应使用中文。</w:t>
      </w:r>
      <w:r>
        <w:rPr>
          <w:rFonts w:hint="eastAsia" w:ascii="宋体" w:hAnsi="宋体"/>
          <w:color w:val="auto"/>
          <w:szCs w:val="21"/>
          <w:highlight w:val="none"/>
          <w:lang w:eastAsia="zh-CN"/>
        </w:rPr>
        <w:t>投标</w:t>
      </w:r>
      <w:r>
        <w:rPr>
          <w:rFonts w:hint="eastAsia" w:ascii="宋体" w:hAnsi="宋体"/>
          <w:color w:val="auto"/>
          <w:szCs w:val="21"/>
          <w:highlight w:val="none"/>
        </w:rPr>
        <w:t>供应商提交的支持文件和文献可以使用</w:t>
      </w:r>
      <w:r>
        <w:rPr>
          <w:rFonts w:hint="eastAsia" w:ascii="宋体" w:hAnsi="宋体"/>
          <w:color w:val="auto"/>
          <w:szCs w:val="21"/>
          <w:highlight w:val="none"/>
          <w:lang w:eastAsia="zh-CN"/>
        </w:rPr>
        <w:t>其他</w:t>
      </w:r>
      <w:r>
        <w:rPr>
          <w:rFonts w:hint="eastAsia" w:ascii="宋体" w:hAnsi="宋体"/>
          <w:color w:val="auto"/>
          <w:szCs w:val="21"/>
          <w:highlight w:val="none"/>
        </w:rPr>
        <w:t>语言，但其相应内容必须附有中文翻译文本，在解释</w:t>
      </w:r>
      <w:r>
        <w:rPr>
          <w:rFonts w:hint="eastAsia" w:ascii="宋体" w:hAnsi="宋体"/>
          <w:color w:val="auto"/>
          <w:szCs w:val="21"/>
          <w:highlight w:val="none"/>
          <w:lang w:eastAsia="zh-CN"/>
        </w:rPr>
        <w:t>公开招标</w:t>
      </w:r>
      <w:r>
        <w:rPr>
          <w:rFonts w:hint="eastAsia" w:ascii="宋体" w:hAnsi="宋体"/>
          <w:color w:val="auto"/>
          <w:szCs w:val="21"/>
          <w:highlight w:val="none"/>
        </w:rPr>
        <w:t>响应文件时以翻译文本为主。</w:t>
      </w:r>
    </w:p>
    <w:p w14:paraId="4E38CE88">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公开招标</w:t>
      </w:r>
      <w:r>
        <w:rPr>
          <w:rFonts w:hint="eastAsia" w:ascii="宋体" w:hAnsi="宋体"/>
          <w:color w:val="auto"/>
          <w:szCs w:val="21"/>
          <w:highlight w:val="none"/>
        </w:rPr>
        <w:t>响应文件必须按本文件的全部内容，包括所有的补充通知及附件进行编制。如因</w:t>
      </w:r>
      <w:r>
        <w:rPr>
          <w:rFonts w:hint="eastAsia" w:ascii="宋体" w:hAnsi="宋体"/>
          <w:color w:val="auto"/>
          <w:szCs w:val="21"/>
          <w:highlight w:val="none"/>
          <w:lang w:eastAsia="zh-CN"/>
        </w:rPr>
        <w:t>投标供应商</w:t>
      </w:r>
      <w:r>
        <w:rPr>
          <w:rFonts w:hint="eastAsia" w:ascii="宋体" w:hAnsi="宋体"/>
          <w:color w:val="auto"/>
          <w:szCs w:val="21"/>
          <w:highlight w:val="none"/>
        </w:rPr>
        <w:t>只填写和提供了本文件要求的部分内容和附件，而给评审造成困难，其可能导致的结果和责任由</w:t>
      </w:r>
      <w:r>
        <w:rPr>
          <w:rFonts w:hint="eastAsia" w:ascii="宋体" w:hAnsi="宋体"/>
          <w:color w:val="auto"/>
          <w:szCs w:val="21"/>
          <w:highlight w:val="none"/>
          <w:lang w:eastAsia="zh-CN"/>
        </w:rPr>
        <w:t>投标供应商</w:t>
      </w:r>
      <w:r>
        <w:rPr>
          <w:rFonts w:hint="eastAsia" w:ascii="宋体" w:hAnsi="宋体"/>
          <w:color w:val="auto"/>
          <w:szCs w:val="21"/>
          <w:highlight w:val="none"/>
        </w:rPr>
        <w:t>自行承担。</w:t>
      </w:r>
    </w:p>
    <w:p w14:paraId="50FA51CA">
      <w:pPr>
        <w:spacing w:line="420" w:lineRule="exact"/>
        <w:ind w:firstLine="420" w:firstLineChars="200"/>
        <w:rPr>
          <w:rFonts w:hint="eastAsia" w:ascii="宋体" w:hAnsi="宋体"/>
          <w:b/>
          <w:color w:val="auto"/>
          <w:szCs w:val="21"/>
          <w:highlight w:val="none"/>
        </w:rPr>
      </w:pPr>
      <w:r>
        <w:rPr>
          <w:rFonts w:hint="eastAsia" w:ascii="宋体" w:hAnsi="宋体"/>
          <w:color w:val="auto"/>
          <w:szCs w:val="21"/>
          <w:highlight w:val="none"/>
          <w:lang w:val="en-US" w:eastAsia="zh-CN"/>
        </w:rPr>
        <w:t>8.4</w:t>
      </w:r>
      <w:r>
        <w:rPr>
          <w:rFonts w:hint="eastAsia" w:ascii="宋体" w:hAnsi="宋体"/>
          <w:color w:val="auto"/>
          <w:szCs w:val="21"/>
          <w:highlight w:val="none"/>
        </w:rPr>
        <w:t>除技术要求中另有规定外，本文件所要求使用的计量单位均应采用国家法定计量单位。</w:t>
      </w:r>
    </w:p>
    <w:p w14:paraId="52182A76">
      <w:pPr>
        <w:spacing w:line="420" w:lineRule="exact"/>
        <w:ind w:firstLine="422" w:firstLineChars="200"/>
        <w:rPr>
          <w:rFonts w:hint="default" w:ascii="宋体" w:hAnsi="宋体"/>
          <w:b/>
          <w:color w:val="auto"/>
          <w:szCs w:val="21"/>
          <w:highlight w:val="none"/>
          <w:lang w:val="en-US"/>
        </w:rPr>
      </w:pPr>
      <w:r>
        <w:rPr>
          <w:rFonts w:hint="eastAsia" w:ascii="宋体" w:hAnsi="宋体"/>
          <w:b/>
          <w:color w:val="auto"/>
          <w:szCs w:val="21"/>
          <w:highlight w:val="none"/>
          <w:lang w:val="en-US" w:eastAsia="zh-CN"/>
        </w:rPr>
        <w:t>四</w:t>
      </w:r>
      <w:r>
        <w:rPr>
          <w:rFonts w:hint="eastAsia" w:ascii="宋体" w:hAnsi="宋体"/>
          <w:b/>
          <w:color w:val="auto"/>
          <w:szCs w:val="21"/>
          <w:highlight w:val="none"/>
        </w:rPr>
        <w:t>、</w:t>
      </w:r>
      <w:r>
        <w:rPr>
          <w:rFonts w:hint="eastAsia" w:ascii="宋体" w:hAnsi="宋体"/>
          <w:b/>
          <w:color w:val="auto"/>
          <w:szCs w:val="21"/>
          <w:highlight w:val="none"/>
          <w:lang w:val="en-US" w:eastAsia="zh-CN"/>
        </w:rPr>
        <w:t>现场勘察</w:t>
      </w:r>
    </w:p>
    <w:p w14:paraId="6EE6A639">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本项目不进行统一现场踏勘，由</w:t>
      </w:r>
      <w:r>
        <w:rPr>
          <w:rFonts w:hint="eastAsia" w:ascii="宋体" w:hAnsi="宋体"/>
          <w:color w:val="auto"/>
          <w:szCs w:val="21"/>
          <w:highlight w:val="none"/>
          <w:lang w:eastAsia="zh-CN"/>
        </w:rPr>
        <w:t>供应商</w:t>
      </w:r>
      <w:r>
        <w:rPr>
          <w:rFonts w:hint="eastAsia" w:ascii="宋体" w:hAnsi="宋体"/>
          <w:color w:val="auto"/>
          <w:szCs w:val="21"/>
          <w:highlight w:val="none"/>
        </w:rPr>
        <w:t xml:space="preserve">根据自身及项目情况自行现场踏勘。 </w:t>
      </w:r>
    </w:p>
    <w:p w14:paraId="3E5228C7">
      <w:pPr>
        <w:spacing w:line="4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五</w:t>
      </w:r>
      <w:r>
        <w:rPr>
          <w:rFonts w:hint="eastAsia" w:ascii="宋体" w:hAnsi="宋体"/>
          <w:b/>
          <w:color w:val="auto"/>
          <w:szCs w:val="21"/>
          <w:highlight w:val="none"/>
        </w:rPr>
        <w:t>、</w:t>
      </w:r>
      <w:r>
        <w:rPr>
          <w:rFonts w:hint="eastAsia" w:ascii="宋体" w:hAnsi="宋体"/>
          <w:b/>
          <w:color w:val="auto"/>
          <w:szCs w:val="21"/>
          <w:highlight w:val="none"/>
          <w:lang w:eastAsia="zh-CN"/>
        </w:rPr>
        <w:t>公开招标</w:t>
      </w:r>
      <w:r>
        <w:rPr>
          <w:rFonts w:hint="eastAsia" w:ascii="宋体" w:hAnsi="宋体"/>
          <w:b/>
          <w:color w:val="auto"/>
          <w:szCs w:val="21"/>
          <w:highlight w:val="none"/>
        </w:rPr>
        <w:t>响应文件的份数、封装和递交</w:t>
      </w:r>
    </w:p>
    <w:p w14:paraId="4AEFA0D4">
      <w:pPr>
        <w:spacing w:line="42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w:t>
      </w:r>
      <w:r>
        <w:rPr>
          <w:rFonts w:hint="eastAsia" w:ascii="宋体" w:hAnsi="宋体"/>
          <w:color w:val="auto"/>
          <w:sz w:val="21"/>
          <w:szCs w:val="21"/>
          <w:highlight w:val="none"/>
          <w:lang w:eastAsia="zh-CN"/>
        </w:rPr>
        <w:t>投标供应商</w:t>
      </w:r>
      <w:r>
        <w:rPr>
          <w:rFonts w:hint="eastAsia" w:ascii="宋体" w:hAnsi="宋体"/>
          <w:color w:val="auto"/>
          <w:sz w:val="21"/>
          <w:szCs w:val="21"/>
          <w:highlight w:val="none"/>
        </w:rPr>
        <w:t>应将响应文件</w:t>
      </w:r>
      <w:r>
        <w:rPr>
          <w:rFonts w:hint="eastAsia" w:ascii="宋体" w:hAnsi="宋体"/>
          <w:color w:val="auto"/>
          <w:sz w:val="21"/>
          <w:szCs w:val="21"/>
          <w:highlight w:val="none"/>
          <w:lang w:val="en-US" w:eastAsia="zh-CN"/>
        </w:rPr>
        <w:t>及其他组成文件编制成册，提供正本壹份，副本贰份，</w:t>
      </w:r>
      <w:r>
        <w:rPr>
          <w:rFonts w:hint="eastAsia" w:ascii="宋体" w:hAnsi="宋体"/>
          <w:color w:val="auto"/>
          <w:sz w:val="21"/>
          <w:szCs w:val="21"/>
          <w:highlight w:val="none"/>
        </w:rPr>
        <w:t>所有</w:t>
      </w:r>
      <w:r>
        <w:rPr>
          <w:rFonts w:hint="eastAsia" w:ascii="宋体" w:hAnsi="宋体"/>
          <w:color w:val="auto"/>
          <w:sz w:val="21"/>
          <w:szCs w:val="21"/>
          <w:highlight w:val="none"/>
          <w:lang w:val="en-US" w:eastAsia="zh-CN"/>
        </w:rPr>
        <w:t>文件封装在一个</w:t>
      </w:r>
      <w:r>
        <w:rPr>
          <w:rFonts w:hint="eastAsia" w:ascii="宋体" w:hAnsi="宋体"/>
          <w:color w:val="auto"/>
          <w:sz w:val="21"/>
          <w:szCs w:val="21"/>
          <w:highlight w:val="none"/>
        </w:rPr>
        <w:t>信封中。响应文件的信封上应写明：</w:t>
      </w:r>
      <w:r>
        <w:rPr>
          <w:rFonts w:hint="eastAsia" w:ascii="宋体" w:hAnsi="宋体"/>
          <w:color w:val="auto"/>
          <w:sz w:val="21"/>
          <w:szCs w:val="21"/>
          <w:highlight w:val="none"/>
          <w:lang w:eastAsia="zh-CN"/>
        </w:rPr>
        <w:t>公开招标</w:t>
      </w:r>
      <w:r>
        <w:rPr>
          <w:rFonts w:hint="eastAsia" w:ascii="宋体" w:hAnsi="宋体"/>
          <w:color w:val="auto"/>
          <w:sz w:val="21"/>
          <w:szCs w:val="21"/>
          <w:highlight w:val="none"/>
        </w:rPr>
        <w:t>项目编号</w:t>
      </w:r>
      <w:r>
        <w:rPr>
          <w:rFonts w:hint="eastAsia" w:ascii="宋体" w:hAnsi="宋体"/>
          <w:color w:val="auto"/>
          <w:sz w:val="21"/>
          <w:szCs w:val="21"/>
          <w:highlight w:val="none"/>
          <w:lang w:eastAsia="zh-CN"/>
        </w:rPr>
        <w:t>、公开招标</w:t>
      </w:r>
      <w:r>
        <w:rPr>
          <w:rFonts w:hint="eastAsia" w:ascii="宋体" w:hAnsi="宋体"/>
          <w:color w:val="auto"/>
          <w:sz w:val="21"/>
          <w:szCs w:val="21"/>
          <w:highlight w:val="none"/>
        </w:rPr>
        <w:t>项目名称</w:t>
      </w:r>
      <w:r>
        <w:rPr>
          <w:rFonts w:hint="eastAsia" w:ascii="宋体" w:hAnsi="宋体"/>
          <w:color w:val="auto"/>
          <w:sz w:val="21"/>
          <w:szCs w:val="21"/>
          <w:highlight w:val="none"/>
          <w:lang w:eastAsia="zh-CN"/>
        </w:rPr>
        <w:t>、投标供应商</w:t>
      </w:r>
      <w:r>
        <w:rPr>
          <w:rFonts w:hint="eastAsia" w:ascii="宋体" w:hAnsi="宋体"/>
          <w:color w:val="auto"/>
          <w:sz w:val="21"/>
          <w:szCs w:val="21"/>
          <w:highlight w:val="none"/>
        </w:rPr>
        <w:t>名称</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粘贴盖章的</w:t>
      </w:r>
      <w:r>
        <w:rPr>
          <w:rFonts w:hint="eastAsia" w:ascii="宋体" w:cs="宋体"/>
          <w:bCs/>
          <w:color w:val="auto"/>
          <w:sz w:val="21"/>
          <w:szCs w:val="21"/>
          <w:highlight w:val="none"/>
        </w:rPr>
        <w:t>营业执照复印件</w:t>
      </w:r>
      <w:r>
        <w:rPr>
          <w:rFonts w:hint="eastAsia" w:ascii="宋体" w:cs="宋体"/>
          <w:bCs/>
          <w:color w:val="auto"/>
          <w:sz w:val="21"/>
          <w:szCs w:val="21"/>
          <w:highlight w:val="none"/>
          <w:lang w:eastAsia="zh-CN"/>
        </w:rPr>
        <w:t>。</w:t>
      </w:r>
    </w:p>
    <w:p w14:paraId="4B9A1F6D">
      <w:pPr>
        <w:spacing w:line="42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.所有</w:t>
      </w:r>
      <w:r>
        <w:rPr>
          <w:rFonts w:hint="eastAsia" w:ascii="宋体" w:hAnsi="宋体"/>
          <w:color w:val="auto"/>
          <w:sz w:val="21"/>
          <w:szCs w:val="21"/>
          <w:highlight w:val="none"/>
          <w:lang w:eastAsia="zh-CN"/>
        </w:rPr>
        <w:t>公开招标</w:t>
      </w:r>
      <w:r>
        <w:rPr>
          <w:rFonts w:hint="eastAsia" w:ascii="宋体" w:hAnsi="宋体"/>
          <w:color w:val="auto"/>
          <w:sz w:val="21"/>
          <w:szCs w:val="21"/>
          <w:highlight w:val="none"/>
        </w:rPr>
        <w:t>竞争性响应文件应于“</w:t>
      </w:r>
      <w:r>
        <w:rPr>
          <w:rFonts w:hint="eastAsia" w:ascii="宋体" w:hAnsi="宋体"/>
          <w:color w:val="auto"/>
          <w:sz w:val="21"/>
          <w:szCs w:val="21"/>
          <w:highlight w:val="none"/>
          <w:lang w:val="en-US" w:eastAsia="zh-CN"/>
        </w:rPr>
        <w:t>招标公告</w:t>
      </w:r>
      <w:r>
        <w:rPr>
          <w:rFonts w:hint="eastAsia" w:ascii="宋体" w:hAnsi="宋体"/>
          <w:color w:val="auto"/>
          <w:sz w:val="21"/>
          <w:szCs w:val="21"/>
          <w:highlight w:val="none"/>
        </w:rPr>
        <w:t>”中规定的时间前递交到规定地点。</w:t>
      </w:r>
      <w:r>
        <w:rPr>
          <w:rFonts w:hint="eastAsia" w:ascii="宋体" w:hAnsi="宋体"/>
          <w:color w:val="auto"/>
          <w:sz w:val="21"/>
          <w:szCs w:val="21"/>
          <w:highlight w:val="none"/>
          <w:lang w:val="en-US" w:eastAsia="zh-CN"/>
        </w:rPr>
        <w:t>采购人有权</w:t>
      </w:r>
      <w:r>
        <w:rPr>
          <w:rFonts w:hint="eastAsia" w:ascii="宋体" w:hAnsi="宋体"/>
          <w:color w:val="auto"/>
          <w:sz w:val="21"/>
          <w:szCs w:val="21"/>
          <w:highlight w:val="none"/>
        </w:rPr>
        <w:t>拒绝或原封退回在规定的递交文件截止时间之后收到的任何</w:t>
      </w:r>
      <w:r>
        <w:rPr>
          <w:rFonts w:hint="eastAsia" w:ascii="宋体" w:hAnsi="宋体"/>
          <w:color w:val="auto"/>
          <w:sz w:val="21"/>
          <w:szCs w:val="21"/>
          <w:highlight w:val="none"/>
          <w:lang w:eastAsia="zh-CN"/>
        </w:rPr>
        <w:t>招标</w:t>
      </w:r>
      <w:r>
        <w:rPr>
          <w:rFonts w:hint="eastAsia" w:ascii="宋体" w:hAnsi="宋体"/>
          <w:color w:val="auto"/>
          <w:sz w:val="21"/>
          <w:szCs w:val="21"/>
          <w:highlight w:val="none"/>
        </w:rPr>
        <w:t>响应文件。</w:t>
      </w:r>
    </w:p>
    <w:p w14:paraId="37544ECB">
      <w:pPr>
        <w:spacing w:line="42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hint="eastAsia" w:ascii="宋体" w:hAnsi="宋体"/>
          <w:color w:val="auto"/>
          <w:sz w:val="21"/>
          <w:szCs w:val="21"/>
          <w:highlight w:val="none"/>
          <w:lang w:eastAsia="zh-CN"/>
        </w:rPr>
        <w:t>投标供应商</w:t>
      </w:r>
      <w:r>
        <w:rPr>
          <w:rFonts w:hint="eastAsia" w:ascii="宋体" w:hAnsi="宋体"/>
          <w:color w:val="auto"/>
          <w:sz w:val="21"/>
          <w:szCs w:val="21"/>
          <w:highlight w:val="none"/>
        </w:rPr>
        <w:t>在</w:t>
      </w:r>
      <w:r>
        <w:rPr>
          <w:rFonts w:hint="eastAsia" w:ascii="宋体" w:hAnsi="宋体"/>
          <w:color w:val="auto"/>
          <w:sz w:val="21"/>
          <w:szCs w:val="21"/>
          <w:highlight w:val="none"/>
          <w:lang w:eastAsia="zh-CN"/>
        </w:rPr>
        <w:t>招标</w:t>
      </w:r>
      <w:r>
        <w:rPr>
          <w:rFonts w:hint="eastAsia" w:ascii="宋体" w:hAnsi="宋体"/>
          <w:color w:val="auto"/>
          <w:sz w:val="21"/>
          <w:szCs w:val="21"/>
          <w:highlight w:val="none"/>
        </w:rPr>
        <w:t>截止时间之前，可以对已提交的响应文件进行修改或撤回，并书面通知采购人；</w:t>
      </w:r>
      <w:r>
        <w:rPr>
          <w:rFonts w:hint="eastAsia" w:ascii="宋体" w:hAnsi="宋体"/>
          <w:color w:val="auto"/>
          <w:sz w:val="21"/>
          <w:szCs w:val="21"/>
          <w:highlight w:val="none"/>
          <w:lang w:eastAsia="zh-CN"/>
        </w:rPr>
        <w:t>招标</w:t>
      </w:r>
      <w:r>
        <w:rPr>
          <w:rFonts w:hint="eastAsia" w:ascii="宋体" w:hAnsi="宋体"/>
          <w:color w:val="auto"/>
          <w:sz w:val="21"/>
          <w:szCs w:val="21"/>
          <w:highlight w:val="none"/>
        </w:rPr>
        <w:t>截止时</w:t>
      </w:r>
      <w:r>
        <w:rPr>
          <w:rFonts w:hint="eastAsia" w:ascii="宋体" w:hAnsi="宋体"/>
          <w:color w:val="auto"/>
          <w:sz w:val="21"/>
          <w:szCs w:val="21"/>
          <w:highlight w:val="none"/>
          <w:lang w:eastAsia="zh-CN"/>
        </w:rPr>
        <w:t>间之</w:t>
      </w:r>
      <w:r>
        <w:rPr>
          <w:rFonts w:hint="eastAsia" w:ascii="宋体" w:hAnsi="宋体"/>
          <w:color w:val="auto"/>
          <w:sz w:val="21"/>
          <w:szCs w:val="21"/>
          <w:highlight w:val="none"/>
        </w:rPr>
        <w:t>后，</w:t>
      </w:r>
      <w:r>
        <w:rPr>
          <w:rFonts w:hint="eastAsia" w:ascii="宋体" w:hAnsi="宋体"/>
          <w:color w:val="auto"/>
          <w:sz w:val="21"/>
          <w:szCs w:val="21"/>
          <w:highlight w:val="none"/>
          <w:lang w:eastAsia="zh-CN"/>
        </w:rPr>
        <w:t>投标供应商</w:t>
      </w:r>
      <w:r>
        <w:rPr>
          <w:rFonts w:hint="eastAsia" w:ascii="宋体" w:hAnsi="宋体"/>
          <w:color w:val="auto"/>
          <w:sz w:val="21"/>
          <w:szCs w:val="21"/>
          <w:highlight w:val="none"/>
        </w:rPr>
        <w:t>不得撤回、修改响应文件。修改后重新递交的响应文件应当按本</w:t>
      </w:r>
      <w:r>
        <w:rPr>
          <w:rFonts w:hint="eastAsia" w:ascii="宋体" w:hAnsi="宋体"/>
          <w:color w:val="auto"/>
          <w:sz w:val="21"/>
          <w:szCs w:val="21"/>
          <w:highlight w:val="none"/>
          <w:lang w:eastAsia="zh-CN"/>
        </w:rPr>
        <w:t>招标</w:t>
      </w:r>
      <w:r>
        <w:rPr>
          <w:rFonts w:hint="eastAsia" w:ascii="宋体" w:hAnsi="宋体"/>
          <w:color w:val="auto"/>
          <w:sz w:val="21"/>
          <w:szCs w:val="21"/>
          <w:highlight w:val="none"/>
        </w:rPr>
        <w:t>文件的要求签署、盖章和密封。</w:t>
      </w:r>
    </w:p>
    <w:p w14:paraId="31A0A6DD">
      <w:pPr>
        <w:spacing w:line="4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六</w:t>
      </w:r>
      <w:r>
        <w:rPr>
          <w:rFonts w:hint="eastAsia" w:ascii="宋体" w:hAnsi="宋体"/>
          <w:b/>
          <w:color w:val="auto"/>
          <w:szCs w:val="21"/>
          <w:highlight w:val="none"/>
        </w:rPr>
        <w:t>、</w:t>
      </w:r>
      <w:r>
        <w:rPr>
          <w:rFonts w:hint="eastAsia" w:ascii="宋体" w:hAnsi="宋体"/>
          <w:b/>
          <w:color w:val="auto"/>
          <w:szCs w:val="21"/>
          <w:highlight w:val="none"/>
          <w:lang w:eastAsia="zh-CN"/>
        </w:rPr>
        <w:t>评标</w:t>
      </w:r>
      <w:r>
        <w:rPr>
          <w:rFonts w:hint="eastAsia" w:ascii="宋体" w:hAnsi="宋体"/>
          <w:b/>
          <w:color w:val="auto"/>
          <w:szCs w:val="21"/>
          <w:highlight w:val="none"/>
        </w:rPr>
        <w:t>的步骤</w:t>
      </w:r>
    </w:p>
    <w:p w14:paraId="40B7BF63">
      <w:pPr>
        <w:pStyle w:val="7"/>
        <w:spacing w:line="420" w:lineRule="exact"/>
        <w:ind w:firstLineChars="200"/>
        <w:rPr>
          <w:rFonts w:hint="eastAsia"/>
          <w:color w:val="auto"/>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w:t>
      </w:r>
      <w:r>
        <w:rPr>
          <w:rFonts w:hint="eastAsia" w:ascii="宋体" w:hAnsi="宋体"/>
          <w:color w:val="auto"/>
          <w:szCs w:val="21"/>
          <w:highlight w:val="none"/>
          <w:lang w:eastAsia="zh-CN"/>
        </w:rPr>
        <w:t>评标委员会</w:t>
      </w:r>
      <w:r>
        <w:rPr>
          <w:rFonts w:hint="eastAsia" w:ascii="宋体" w:hAnsi="宋体"/>
          <w:color w:val="auto"/>
          <w:szCs w:val="21"/>
          <w:highlight w:val="none"/>
        </w:rPr>
        <w:t>按已确定的</w:t>
      </w:r>
      <w:r>
        <w:rPr>
          <w:rFonts w:hint="eastAsia" w:ascii="宋体" w:hAnsi="宋体"/>
          <w:color w:val="auto"/>
          <w:szCs w:val="21"/>
          <w:highlight w:val="none"/>
          <w:lang w:eastAsia="zh-CN"/>
        </w:rPr>
        <w:t>招标</w:t>
      </w:r>
      <w:r>
        <w:rPr>
          <w:rFonts w:hint="eastAsia" w:ascii="宋体" w:hAnsi="宋体"/>
          <w:color w:val="auto"/>
          <w:szCs w:val="21"/>
          <w:highlight w:val="none"/>
        </w:rPr>
        <w:t>顺序，</w:t>
      </w:r>
      <w:r>
        <w:rPr>
          <w:rFonts w:hint="eastAsia" w:ascii="宋体" w:hAnsi="宋体"/>
          <w:color w:val="auto"/>
          <w:szCs w:val="21"/>
          <w:highlight w:val="none"/>
          <w:lang w:val="en-US" w:eastAsia="zh-CN"/>
        </w:rPr>
        <w:t>对</w:t>
      </w:r>
      <w:r>
        <w:rPr>
          <w:rFonts w:hint="eastAsia" w:ascii="宋体" w:hAnsi="宋体"/>
          <w:color w:val="auto"/>
          <w:szCs w:val="21"/>
          <w:highlight w:val="none"/>
        </w:rPr>
        <w:t>单一供应商分别就符合</w:t>
      </w:r>
      <w:r>
        <w:rPr>
          <w:rFonts w:hint="eastAsia" w:ascii="宋体" w:hAnsi="宋体"/>
          <w:color w:val="auto"/>
          <w:szCs w:val="21"/>
          <w:highlight w:val="none"/>
          <w:lang w:eastAsia="zh-CN"/>
        </w:rPr>
        <w:t>采购</w:t>
      </w:r>
      <w:r>
        <w:rPr>
          <w:rFonts w:hint="eastAsia" w:ascii="宋体" w:hAnsi="宋体"/>
          <w:color w:val="auto"/>
          <w:szCs w:val="21"/>
          <w:highlight w:val="none"/>
        </w:rPr>
        <w:t>需求、质量和服务等进行</w:t>
      </w:r>
      <w:r>
        <w:rPr>
          <w:rFonts w:hint="eastAsia" w:ascii="宋体" w:hAnsi="宋体"/>
          <w:color w:val="auto"/>
          <w:szCs w:val="21"/>
          <w:highlight w:val="none"/>
          <w:lang w:val="en-US" w:eastAsia="zh-CN"/>
        </w:rPr>
        <w:t>评</w:t>
      </w:r>
      <w:r>
        <w:rPr>
          <w:rFonts w:hint="eastAsia" w:ascii="宋体" w:hAnsi="宋体"/>
          <w:color w:val="auto"/>
          <w:szCs w:val="21"/>
          <w:highlight w:val="none"/>
          <w:lang w:eastAsia="zh-CN"/>
        </w:rPr>
        <w:t>标</w:t>
      </w:r>
      <w:r>
        <w:rPr>
          <w:rFonts w:hint="eastAsia" w:ascii="宋体" w:hAnsi="宋体"/>
          <w:color w:val="auto"/>
          <w:szCs w:val="21"/>
          <w:highlight w:val="none"/>
        </w:rPr>
        <w:t>，并了解其报价组成情况。</w:t>
      </w:r>
      <w:r>
        <w:rPr>
          <w:rFonts w:hint="eastAsia" w:ascii="宋体" w:hAnsi="宋体"/>
          <w:color w:val="auto"/>
          <w:highlight w:val="none"/>
          <w:lang w:val="en-US" w:eastAsia="zh-CN"/>
        </w:rPr>
        <w:t>评标委员会依据法律法规和公开招标文件的规定，首先对文件中的资格证明进行资格性审查；再对通过资格性审查的供应商文件的有效性、完整性和对招标文件的响应程度进行符合性审查。审查过程中发现未实质性响应招标文件的响应文件按无效处理</w:t>
      </w:r>
      <w:r>
        <w:rPr>
          <w:rFonts w:hint="eastAsia"/>
          <w:color w:val="auto"/>
          <w:highlight w:val="none"/>
          <w:lang w:val="en-US" w:eastAsia="zh-CN"/>
        </w:rPr>
        <w:t>。</w:t>
      </w:r>
    </w:p>
    <w:p w14:paraId="26AB52DC">
      <w:pPr>
        <w:pStyle w:val="7"/>
        <w:spacing w:line="420" w:lineRule="exact"/>
        <w:ind w:left="0" w:leftChars="0"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13.2评标委员会如发现供应商提供的证明文件不齐全或不符合规定格式的，应一次性告知供应商，供应商应在规定的时间内补正或更正。</w:t>
      </w:r>
    </w:p>
    <w:p w14:paraId="21803EDB">
      <w:pPr>
        <w:widowControl/>
        <w:tabs>
          <w:tab w:val="left" w:pos="540"/>
        </w:tabs>
        <w:spacing w:line="420" w:lineRule="exact"/>
        <w:ind w:firstLine="420" w:firstLineChars="200"/>
        <w:jc w:val="left"/>
        <w:rPr>
          <w:rFonts w:hint="eastAsia" w:ascii="宋体" w:hAnsi="宋体"/>
          <w:color w:val="auto"/>
          <w:szCs w:val="21"/>
          <w:highlight w:val="none"/>
        </w:rPr>
      </w:pPr>
      <w:r>
        <w:rPr>
          <w:rFonts w:hint="eastAsia" w:ascii="宋体" w:hAnsi="宋体"/>
          <w:color w:val="auto"/>
          <w:highlight w:val="none"/>
          <w:lang w:val="en-US" w:eastAsia="zh-CN"/>
        </w:rPr>
        <w:t>13.3评标委员会在审查时，可以要求供应商对文件中含义不明确、表述不一致或者有错误的内容等作出必要的澄清、说明或者更正。供应商的澄清、说明或者更正不得超出响应文件的范围或者实质性内容。澄清、说明或者更正应由其法定代表人或相应的授权委托代表签字或者加盖供应商公章（自然人除外）。由授权委托代表签字的，应当附授权委托书。供应商为自然人的，应当由本人签字并附身份证明。</w:t>
      </w:r>
      <w:r>
        <w:rPr>
          <w:rFonts w:hint="eastAsia" w:ascii="宋体" w:hAnsi="宋体"/>
          <w:color w:val="auto"/>
          <w:szCs w:val="21"/>
          <w:highlight w:val="none"/>
        </w:rPr>
        <w:t>采购</w:t>
      </w:r>
      <w:r>
        <w:rPr>
          <w:rFonts w:hint="eastAsia" w:ascii="宋体" w:hAnsi="宋体"/>
          <w:color w:val="auto"/>
          <w:szCs w:val="21"/>
          <w:highlight w:val="none"/>
          <w:lang w:val="en-US" w:eastAsia="zh-CN"/>
        </w:rPr>
        <w:t>人</w:t>
      </w:r>
      <w:r>
        <w:rPr>
          <w:rFonts w:hint="eastAsia" w:ascii="宋体" w:hAnsi="宋体"/>
          <w:color w:val="auto"/>
          <w:szCs w:val="21"/>
          <w:highlight w:val="none"/>
        </w:rPr>
        <w:t>对</w:t>
      </w:r>
      <w:r>
        <w:rPr>
          <w:rFonts w:hint="eastAsia" w:ascii="宋体" w:hAnsi="宋体"/>
          <w:color w:val="auto"/>
          <w:szCs w:val="21"/>
          <w:highlight w:val="none"/>
          <w:lang w:eastAsia="zh-CN"/>
        </w:rPr>
        <w:t>招标</w:t>
      </w:r>
      <w:r>
        <w:rPr>
          <w:rFonts w:hint="eastAsia" w:ascii="宋体" w:hAnsi="宋体"/>
          <w:color w:val="auto"/>
          <w:szCs w:val="21"/>
          <w:highlight w:val="none"/>
        </w:rPr>
        <w:t>过程和重要</w:t>
      </w:r>
      <w:r>
        <w:rPr>
          <w:rFonts w:hint="eastAsia" w:ascii="宋体" w:hAnsi="宋体"/>
          <w:color w:val="auto"/>
          <w:szCs w:val="21"/>
          <w:highlight w:val="none"/>
          <w:lang w:eastAsia="zh-CN"/>
        </w:rPr>
        <w:t>招标</w:t>
      </w:r>
      <w:r>
        <w:rPr>
          <w:rFonts w:hint="eastAsia" w:ascii="宋体" w:hAnsi="宋体"/>
          <w:color w:val="auto"/>
          <w:szCs w:val="21"/>
          <w:highlight w:val="none"/>
        </w:rPr>
        <w:t>内容进行记录，</w:t>
      </w:r>
      <w:r>
        <w:rPr>
          <w:rFonts w:hint="eastAsia" w:ascii="宋体" w:hAnsi="宋体"/>
          <w:color w:val="auto"/>
          <w:szCs w:val="21"/>
          <w:highlight w:val="none"/>
          <w:lang w:eastAsia="zh-CN"/>
        </w:rPr>
        <w:t>招标</w:t>
      </w:r>
      <w:r>
        <w:rPr>
          <w:rFonts w:hint="eastAsia" w:ascii="宋体" w:hAnsi="宋体"/>
          <w:color w:val="auto"/>
          <w:szCs w:val="21"/>
          <w:highlight w:val="none"/>
        </w:rPr>
        <w:t>双方在记录上签字确认。</w:t>
      </w:r>
    </w:p>
    <w:p w14:paraId="7744A49C">
      <w:pPr>
        <w:widowControl/>
        <w:tabs>
          <w:tab w:val="left" w:pos="540"/>
        </w:tabs>
        <w:spacing w:line="420" w:lineRule="exact"/>
        <w:ind w:firstLine="420" w:firstLineChars="200"/>
        <w:jc w:val="left"/>
        <w:rPr>
          <w:rFonts w:hint="eastAsia" w:ascii="宋体" w:hAnsi="宋体" w:cs="宋体"/>
          <w:b/>
          <w:bCs/>
          <w:color w:val="auto"/>
          <w:szCs w:val="21"/>
          <w:highlight w:val="none"/>
        </w:rPr>
      </w:pPr>
      <w:r>
        <w:rPr>
          <w:rFonts w:hint="eastAsia" w:ascii="宋体" w:hAnsi="宋体"/>
          <w:color w:val="auto"/>
          <w:szCs w:val="21"/>
          <w:highlight w:val="none"/>
          <w:lang w:val="en-US" w:eastAsia="zh-CN"/>
        </w:rPr>
        <w:t>13.4</w:t>
      </w:r>
      <w:r>
        <w:rPr>
          <w:rFonts w:hint="eastAsia" w:ascii="宋体" w:hAnsi="宋体"/>
          <w:color w:val="auto"/>
          <w:szCs w:val="21"/>
          <w:highlight w:val="none"/>
          <w:lang w:eastAsia="zh-CN"/>
        </w:rPr>
        <w:t>评标委员会</w:t>
      </w:r>
      <w:r>
        <w:rPr>
          <w:rFonts w:hint="eastAsia" w:ascii="宋体" w:hAnsi="宋体"/>
          <w:color w:val="auto"/>
          <w:szCs w:val="21"/>
          <w:highlight w:val="none"/>
        </w:rPr>
        <w:t>一致确定响应供应商符合</w:t>
      </w:r>
      <w:r>
        <w:rPr>
          <w:rFonts w:hint="eastAsia" w:ascii="宋体" w:hAnsi="宋体"/>
          <w:color w:val="auto"/>
          <w:szCs w:val="21"/>
          <w:highlight w:val="none"/>
          <w:lang w:eastAsia="zh-CN"/>
        </w:rPr>
        <w:t>招标</w:t>
      </w:r>
      <w:r>
        <w:rPr>
          <w:rFonts w:hint="eastAsia" w:ascii="宋体" w:hAnsi="宋体"/>
          <w:color w:val="auto"/>
          <w:szCs w:val="21"/>
          <w:highlight w:val="none"/>
        </w:rPr>
        <w:t>文件要求的，按</w:t>
      </w:r>
      <w:r>
        <w:rPr>
          <w:rFonts w:hint="eastAsia" w:ascii="宋体" w:hAnsi="宋体"/>
          <w:color w:val="auto"/>
          <w:szCs w:val="21"/>
          <w:highlight w:val="none"/>
          <w:lang w:eastAsia="zh-CN"/>
        </w:rPr>
        <w:t>招标</w:t>
      </w:r>
      <w:r>
        <w:rPr>
          <w:rFonts w:hint="eastAsia" w:ascii="宋体" w:hAnsi="宋体"/>
          <w:color w:val="auto"/>
          <w:szCs w:val="21"/>
          <w:highlight w:val="none"/>
        </w:rPr>
        <w:t>文件设定的方法和标准确定成交候选人</w:t>
      </w:r>
      <w:r>
        <w:rPr>
          <w:rFonts w:hint="eastAsia" w:ascii="宋体" w:hAnsi="宋体"/>
          <w:color w:val="auto"/>
          <w:szCs w:val="21"/>
          <w:highlight w:val="none"/>
          <w:lang w:eastAsia="zh-CN"/>
        </w:rPr>
        <w:t>。</w:t>
      </w:r>
    </w:p>
    <w:p w14:paraId="160AC18F">
      <w:pPr>
        <w:widowControl/>
        <w:shd w:val="clear" w:color="auto" w:fill="FFFFFF"/>
        <w:spacing w:line="420" w:lineRule="exact"/>
        <w:ind w:firstLine="480"/>
        <w:jc w:val="left"/>
        <w:rPr>
          <w:rFonts w:hint="eastAsia" w:ascii="宋体" w:hAnsi="宋体"/>
          <w:b/>
          <w:color w:val="auto"/>
          <w:szCs w:val="21"/>
          <w:highlight w:val="none"/>
        </w:rPr>
      </w:pPr>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、响应文件无效的</w:t>
      </w:r>
      <w:r>
        <w:rPr>
          <w:rFonts w:hint="eastAsia" w:ascii="宋体" w:hAnsi="宋体"/>
          <w:b/>
          <w:color w:val="auto"/>
          <w:szCs w:val="21"/>
          <w:highlight w:val="none"/>
        </w:rPr>
        <w:t>情形</w:t>
      </w:r>
    </w:p>
    <w:p w14:paraId="1EFDB6C9">
      <w:pPr>
        <w:widowControl/>
        <w:shd w:val="clear" w:color="auto" w:fill="FFFFFF"/>
        <w:spacing w:line="42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属于下列情况之一者，响应文件无效：</w:t>
      </w:r>
    </w:p>
    <w:p w14:paraId="131D783F">
      <w:pPr>
        <w:snapToGrid w:val="0"/>
        <w:spacing w:line="42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.1未按采购文件</w:t>
      </w:r>
      <w:r>
        <w:rPr>
          <w:rFonts w:hint="eastAsia" w:ascii="宋体" w:hAnsi="宋体" w:cs="宋体"/>
          <w:color w:val="auto"/>
          <w:szCs w:val="21"/>
          <w:highlight w:val="none"/>
          <w:lang w:val="en-US" w:eastAsia="zh-CN"/>
        </w:rPr>
        <w:t>要求编制标书</w:t>
      </w:r>
      <w:r>
        <w:rPr>
          <w:rFonts w:hint="eastAsia" w:ascii="宋体" w:hAnsi="宋体" w:cs="宋体"/>
          <w:color w:val="auto"/>
          <w:szCs w:val="21"/>
          <w:highlight w:val="none"/>
        </w:rPr>
        <w:t>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未按规定完整提交响应文件或未按规定要求密封、签字、盖章的；</w:t>
      </w:r>
    </w:p>
    <w:p w14:paraId="1DF296A2">
      <w:pPr>
        <w:snapToGrid w:val="0"/>
        <w:spacing w:line="42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超越行政审批的经营范围的</w:t>
      </w:r>
      <w:r>
        <w:rPr>
          <w:rFonts w:hint="eastAsia" w:ascii="宋体" w:hAnsi="宋体" w:cs="宋体"/>
          <w:color w:val="auto"/>
          <w:szCs w:val="21"/>
          <w:highlight w:val="none"/>
          <w:lang w:eastAsia="zh-CN"/>
        </w:rPr>
        <w:t>或</w:t>
      </w:r>
      <w:r>
        <w:rPr>
          <w:rFonts w:hint="eastAsia" w:ascii="宋体" w:hAnsi="宋体" w:cs="宋体"/>
          <w:color w:val="auto"/>
          <w:szCs w:val="21"/>
          <w:highlight w:val="none"/>
        </w:rPr>
        <w:t>不具备</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文件规定的资格要求的</w:t>
      </w:r>
      <w:r>
        <w:rPr>
          <w:rFonts w:hint="eastAsia" w:ascii="宋体" w:hAnsi="宋体" w:cs="宋体"/>
          <w:color w:val="auto"/>
          <w:highlight w:val="none"/>
        </w:rPr>
        <w:t>；</w:t>
      </w:r>
    </w:p>
    <w:p w14:paraId="3F37254D">
      <w:pPr>
        <w:snapToGrid w:val="0"/>
        <w:spacing w:line="420" w:lineRule="exact"/>
        <w:ind w:firstLine="432" w:firstLineChars="206"/>
        <w:outlineLvl w:val="4"/>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响应文件未按</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文件的内容和要求编制</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提供虚假材料的</w:t>
      </w:r>
      <w:r>
        <w:rPr>
          <w:rFonts w:hint="eastAsia" w:ascii="宋体" w:hAnsi="宋体" w:cs="宋体"/>
          <w:color w:val="auto"/>
          <w:szCs w:val="21"/>
          <w:highlight w:val="none"/>
          <w:lang w:eastAsia="zh-CN"/>
        </w:rPr>
        <w:t>或不满足招标文件要求的；</w:t>
      </w:r>
    </w:p>
    <w:p w14:paraId="1591F2D2">
      <w:pPr>
        <w:snapToGrid w:val="0"/>
        <w:spacing w:line="420" w:lineRule="exact"/>
        <w:ind w:firstLine="432" w:firstLineChars="206"/>
        <w:outlineLvl w:val="4"/>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属于“必须提供”的响应文件未能按时提供或补正、更正的；</w:t>
      </w:r>
    </w:p>
    <w:p w14:paraId="1C6B1E4E">
      <w:pPr>
        <w:snapToGrid w:val="0"/>
        <w:spacing w:line="420" w:lineRule="exact"/>
        <w:ind w:firstLine="420" w:firstLineChars="200"/>
        <w:outlineLvl w:val="4"/>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highlight w:val="none"/>
        </w:rPr>
        <w:t>供应商报价超出采购预算总金额的；</w:t>
      </w:r>
    </w:p>
    <w:p w14:paraId="5FED0AF2">
      <w:pPr>
        <w:spacing w:line="420" w:lineRule="exact"/>
        <w:ind w:firstLine="432" w:firstLineChars="206"/>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0"/>
          <w:highlight w:val="none"/>
        </w:rPr>
        <w:t>未在</w:t>
      </w:r>
      <w:r>
        <w:rPr>
          <w:rFonts w:hint="eastAsia" w:ascii="宋体" w:hAnsi="宋体" w:cs="宋体"/>
          <w:color w:val="auto"/>
          <w:szCs w:val="20"/>
          <w:highlight w:val="none"/>
          <w:lang w:eastAsia="zh-CN"/>
        </w:rPr>
        <w:t>招标</w:t>
      </w:r>
      <w:r>
        <w:rPr>
          <w:rFonts w:hint="eastAsia" w:ascii="宋体" w:hAnsi="宋体" w:cs="宋体"/>
          <w:color w:val="auto"/>
          <w:szCs w:val="20"/>
          <w:highlight w:val="none"/>
        </w:rPr>
        <w:t>小组规定的时间内重新提交响应文件的；</w:t>
      </w:r>
    </w:p>
    <w:p w14:paraId="7F40AE51">
      <w:pPr>
        <w:spacing w:line="42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highlight w:val="none"/>
        </w:rPr>
        <w:t>未满足</w:t>
      </w:r>
      <w:r>
        <w:rPr>
          <w:rFonts w:hint="eastAsia" w:hAnsi="宋体" w:cs="Times New Roman"/>
          <w:color w:val="auto"/>
          <w:kern w:val="1"/>
          <w:sz w:val="21"/>
          <w:szCs w:val="21"/>
          <w:highlight w:val="none"/>
          <w:lang w:val="en-US" w:eastAsia="zh-CN" w:bidi="ar-SA"/>
        </w:rPr>
        <w:t>全自动体外除颤仪（AED）</w:t>
      </w:r>
      <w:r>
        <w:rPr>
          <w:rFonts w:hint="eastAsia" w:ascii="宋体" w:hAnsi="宋体" w:cs="宋体"/>
          <w:color w:val="auto"/>
          <w:highlight w:val="none"/>
          <w:lang w:val="en-US" w:eastAsia="zh-CN"/>
        </w:rPr>
        <w:t>全部组件</w:t>
      </w:r>
      <w:r>
        <w:rPr>
          <w:rFonts w:hint="eastAsia" w:ascii="宋体" w:hAnsi="宋体" w:cs="宋体"/>
          <w:color w:val="auto"/>
          <w:highlight w:val="none"/>
          <w:lang w:eastAsia="zh-CN"/>
        </w:rPr>
        <w:t>，</w:t>
      </w:r>
      <w:r>
        <w:rPr>
          <w:rFonts w:hint="eastAsia" w:ascii="宋体" w:hAnsi="宋体" w:cs="宋体"/>
          <w:color w:val="auto"/>
          <w:highlight w:val="none"/>
        </w:rPr>
        <w:t>或者响应文件有采购人不能接受的附加条件的；</w:t>
      </w:r>
    </w:p>
    <w:p w14:paraId="1A104B82">
      <w:pPr>
        <w:spacing w:line="420" w:lineRule="exact"/>
        <w:ind w:firstLine="432" w:firstLineChars="20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0"/>
          <w:highlight w:val="none"/>
        </w:rPr>
        <w:t>未按规定</w:t>
      </w:r>
      <w:r>
        <w:rPr>
          <w:rFonts w:hint="eastAsia" w:ascii="宋体" w:hAnsi="宋体" w:cs="宋体"/>
          <w:color w:val="auto"/>
          <w:szCs w:val="20"/>
          <w:highlight w:val="none"/>
          <w:lang w:val="en-US" w:eastAsia="zh-CN"/>
        </w:rPr>
        <w:t>下载</w:t>
      </w:r>
      <w:r>
        <w:rPr>
          <w:rFonts w:hint="eastAsia" w:ascii="宋体" w:hAnsi="宋体" w:cs="宋体"/>
          <w:color w:val="auto"/>
          <w:szCs w:val="20"/>
          <w:highlight w:val="none"/>
        </w:rPr>
        <w:t>本项目</w:t>
      </w:r>
      <w:r>
        <w:rPr>
          <w:rFonts w:hint="eastAsia" w:ascii="宋体" w:hAnsi="宋体" w:cs="宋体"/>
          <w:color w:val="auto"/>
          <w:szCs w:val="20"/>
          <w:highlight w:val="none"/>
          <w:lang w:eastAsia="zh-CN"/>
        </w:rPr>
        <w:t>招标</w:t>
      </w:r>
      <w:r>
        <w:rPr>
          <w:rFonts w:hint="eastAsia" w:ascii="宋体" w:hAnsi="宋体" w:cs="宋体"/>
          <w:color w:val="auto"/>
          <w:szCs w:val="20"/>
          <w:highlight w:val="none"/>
        </w:rPr>
        <w:t>文件的（有文件规定除外）；</w:t>
      </w:r>
    </w:p>
    <w:p w14:paraId="6D9038B2">
      <w:pPr>
        <w:numPr>
          <w:ilvl w:val="0"/>
          <w:numId w:val="0"/>
        </w:numPr>
        <w:snapToGrid w:val="0"/>
        <w:spacing w:line="420" w:lineRule="exact"/>
        <w:ind w:firstLine="420" w:firstLineChars="200"/>
        <w:outlineLvl w:val="4"/>
        <w:rPr>
          <w:rFonts w:hint="eastAsia" w:ascii="宋体" w:hAnsi="宋体"/>
          <w:color w:val="auto"/>
          <w:szCs w:val="21"/>
          <w:highlight w:val="none"/>
          <w:lang w:eastAsia="zh-CN"/>
        </w:rPr>
      </w:pPr>
      <w:r>
        <w:rPr>
          <w:rFonts w:hint="eastAsia" w:ascii="宋体" w:hAnsi="宋体"/>
          <w:color w:val="auto"/>
          <w:szCs w:val="21"/>
          <w:highlight w:val="none"/>
          <w:lang w:val="en-US" w:eastAsia="zh-CN"/>
        </w:rPr>
        <w:t>14.9</w:t>
      </w:r>
      <w:r>
        <w:rPr>
          <w:rFonts w:hint="eastAsia" w:ascii="宋体" w:hAnsi="宋体"/>
          <w:color w:val="auto"/>
          <w:szCs w:val="21"/>
          <w:highlight w:val="none"/>
          <w:lang w:eastAsia="zh-CN"/>
        </w:rPr>
        <w:t>投标供应商</w:t>
      </w:r>
      <w:r>
        <w:rPr>
          <w:rFonts w:hint="eastAsia" w:ascii="宋体" w:hAnsi="宋体"/>
          <w:color w:val="auto"/>
          <w:szCs w:val="21"/>
          <w:highlight w:val="none"/>
        </w:rPr>
        <w:t>有串通</w:t>
      </w:r>
      <w:r>
        <w:rPr>
          <w:rFonts w:hint="eastAsia" w:ascii="宋体" w:hAnsi="宋体"/>
          <w:color w:val="auto"/>
          <w:szCs w:val="21"/>
          <w:highlight w:val="none"/>
          <w:lang w:eastAsia="zh-CN"/>
        </w:rPr>
        <w:t>招标行为的。</w:t>
      </w:r>
    </w:p>
    <w:p w14:paraId="4E1354C5">
      <w:pPr>
        <w:numPr>
          <w:ilvl w:val="0"/>
          <w:numId w:val="0"/>
        </w:numPr>
        <w:snapToGrid w:val="0"/>
        <w:spacing w:line="420" w:lineRule="exact"/>
        <w:ind w:firstLine="420" w:firstLineChars="200"/>
        <w:outlineLvl w:val="4"/>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不符合法律法规和</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文件规定的其他实质性要求和条件的。</w:t>
      </w:r>
    </w:p>
    <w:p w14:paraId="432A82E0">
      <w:pPr>
        <w:snapToGrid w:val="0"/>
        <w:spacing w:line="420" w:lineRule="exact"/>
        <w:ind w:firstLine="413" w:firstLineChars="196"/>
        <w:outlineLvl w:val="4"/>
        <w:rPr>
          <w:rFonts w:hint="eastAsia" w:ascii="宋体" w:hAnsi="宋体" w:cs="宋体"/>
          <w:b/>
          <w:color w:val="auto"/>
          <w:szCs w:val="21"/>
          <w:highlight w:val="none"/>
        </w:rPr>
      </w:pPr>
      <w:r>
        <w:rPr>
          <w:rFonts w:hint="eastAsia" w:ascii="宋体" w:hAnsi="宋体" w:cs="宋体"/>
          <w:b/>
          <w:color w:val="auto"/>
          <w:szCs w:val="21"/>
          <w:highlight w:val="none"/>
          <w:lang w:eastAsia="zh-CN"/>
        </w:rPr>
        <w:t>八</w:t>
      </w:r>
      <w:r>
        <w:rPr>
          <w:rFonts w:hint="eastAsia" w:ascii="宋体" w:hAnsi="宋体" w:cs="宋体"/>
          <w:b/>
          <w:color w:val="auto"/>
          <w:szCs w:val="21"/>
          <w:highlight w:val="none"/>
        </w:rPr>
        <w:t>、出现下列情形之一的，采购人应当终止</w:t>
      </w:r>
      <w:r>
        <w:rPr>
          <w:rFonts w:hint="eastAsia" w:ascii="宋体" w:hAnsi="宋体" w:cs="宋体"/>
          <w:b/>
          <w:color w:val="auto"/>
          <w:szCs w:val="21"/>
          <w:highlight w:val="none"/>
          <w:lang w:eastAsia="zh-CN"/>
        </w:rPr>
        <w:t>公开招标</w:t>
      </w:r>
      <w:r>
        <w:rPr>
          <w:rFonts w:hint="eastAsia" w:ascii="宋体" w:hAnsi="宋体" w:cs="宋体"/>
          <w:b/>
          <w:color w:val="auto"/>
          <w:szCs w:val="21"/>
          <w:highlight w:val="none"/>
        </w:rPr>
        <w:t>采购活动，发布项目终止公告并说明原因，重新开展采购活动：</w:t>
      </w:r>
    </w:p>
    <w:p w14:paraId="2BB5D8F8">
      <w:pPr>
        <w:snapToGrid w:val="0"/>
        <w:spacing w:line="420" w:lineRule="exact"/>
        <w:ind w:firstLine="411" w:firstLineChars="196"/>
        <w:outlineLvl w:val="4"/>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w:t>
      </w:r>
      <w:r>
        <w:rPr>
          <w:rFonts w:hint="eastAsia" w:ascii="宋体" w:hAnsi="宋体" w:cs="宋体"/>
          <w:color w:val="auto"/>
          <w:szCs w:val="21"/>
          <w:highlight w:val="none"/>
          <w:lang w:eastAsia="zh-CN"/>
        </w:rPr>
        <w:t>公开招标</w:t>
      </w:r>
      <w:r>
        <w:rPr>
          <w:rFonts w:hint="eastAsia" w:ascii="宋体" w:hAnsi="宋体" w:cs="宋体"/>
          <w:color w:val="auto"/>
          <w:szCs w:val="21"/>
          <w:highlight w:val="none"/>
        </w:rPr>
        <w:t>采购方式情形的；</w:t>
      </w:r>
    </w:p>
    <w:p w14:paraId="3888C850">
      <w:pPr>
        <w:snapToGrid w:val="0"/>
        <w:spacing w:line="420" w:lineRule="exact"/>
        <w:ind w:firstLine="411" w:firstLineChars="196"/>
        <w:outlineLvl w:val="4"/>
        <w:rPr>
          <w:rFonts w:hint="eastAsia"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14:paraId="66CF2804">
      <w:pPr>
        <w:spacing w:line="420" w:lineRule="exact"/>
        <w:ind w:firstLine="420" w:firstLineChars="200"/>
        <w:rPr>
          <w:rFonts w:hint="eastAsia" w:ascii="宋体" w:hAnsi="宋体"/>
          <w:b/>
          <w:color w:val="auto"/>
          <w:szCs w:val="21"/>
          <w:highlight w:val="none"/>
        </w:rPr>
      </w:pPr>
      <w:r>
        <w:rPr>
          <w:rFonts w:hint="eastAsia" w:ascii="宋体" w:hAnsi="宋体" w:cs="宋体"/>
          <w:color w:val="auto"/>
          <w:szCs w:val="21"/>
          <w:highlight w:val="none"/>
        </w:rPr>
        <w:t>3）在采购过程中符合竞争要求的供应商或者报价未超过采购预算的供应商</w:t>
      </w:r>
      <w:r>
        <w:rPr>
          <w:rFonts w:hint="eastAsia" w:ascii="宋体" w:hAnsi="宋体" w:cs="宋体"/>
          <w:b/>
          <w:bCs/>
          <w:color w:val="auto"/>
          <w:szCs w:val="21"/>
          <w:highlight w:val="none"/>
        </w:rPr>
        <w:t>不足3家</w:t>
      </w:r>
      <w:r>
        <w:rPr>
          <w:rFonts w:hint="eastAsia" w:ascii="宋体" w:hAnsi="宋体" w:cs="宋体"/>
          <w:color w:val="auto"/>
          <w:szCs w:val="21"/>
          <w:highlight w:val="none"/>
        </w:rPr>
        <w:t>的。</w:t>
      </w:r>
    </w:p>
    <w:p w14:paraId="74583477">
      <w:pPr>
        <w:spacing w:line="420" w:lineRule="exact"/>
        <w:ind w:firstLine="422" w:firstLineChars="200"/>
        <w:rPr>
          <w:rFonts w:hint="eastAsia" w:ascii="宋体" w:hAnsi="宋体" w:eastAsia="宋体"/>
          <w:color w:val="auto"/>
          <w:szCs w:val="21"/>
          <w:highlight w:val="none"/>
          <w:lang w:eastAsia="zh-CN"/>
        </w:rPr>
      </w:pPr>
      <w:r>
        <w:rPr>
          <w:rFonts w:hint="eastAsia" w:ascii="宋体" w:hAnsi="宋体"/>
          <w:b/>
          <w:color w:val="auto"/>
          <w:szCs w:val="21"/>
          <w:highlight w:val="none"/>
          <w:lang w:eastAsia="zh-CN"/>
        </w:rPr>
        <w:t>九</w:t>
      </w:r>
      <w:r>
        <w:rPr>
          <w:rFonts w:hint="eastAsia" w:ascii="宋体" w:hAnsi="宋体"/>
          <w:b/>
          <w:color w:val="auto"/>
          <w:szCs w:val="21"/>
          <w:highlight w:val="none"/>
        </w:rPr>
        <w:t>、确定成交供应商</w:t>
      </w:r>
      <w:r>
        <w:rPr>
          <w:rFonts w:hint="eastAsia" w:ascii="宋体" w:hAnsi="宋体"/>
          <w:b/>
          <w:color w:val="auto"/>
          <w:szCs w:val="21"/>
          <w:highlight w:val="none"/>
          <w:lang w:eastAsia="zh-CN"/>
        </w:rPr>
        <w:t>与签订合同</w:t>
      </w:r>
    </w:p>
    <w:p w14:paraId="07FA7A0D">
      <w:pPr>
        <w:widowControl/>
        <w:tabs>
          <w:tab w:val="left" w:pos="540"/>
        </w:tabs>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成交供应商确定方法</w:t>
      </w:r>
      <w:r>
        <w:rPr>
          <w:rFonts w:hint="eastAsia" w:ascii="宋体" w:hAnsi="宋体"/>
          <w:color w:val="auto"/>
          <w:szCs w:val="21"/>
          <w:highlight w:val="none"/>
        </w:rPr>
        <w:t>详见第</w:t>
      </w:r>
      <w:r>
        <w:rPr>
          <w:rFonts w:hint="eastAsia" w:ascii="宋体" w:hAnsi="宋体"/>
          <w:color w:val="auto"/>
          <w:szCs w:val="21"/>
          <w:highlight w:val="none"/>
          <w:lang w:eastAsia="zh-CN"/>
        </w:rPr>
        <w:t>四</w:t>
      </w:r>
      <w:r>
        <w:rPr>
          <w:rFonts w:hint="eastAsia" w:ascii="宋体" w:hAnsi="宋体"/>
          <w:color w:val="auto"/>
          <w:szCs w:val="21"/>
          <w:highlight w:val="none"/>
        </w:rPr>
        <w:t>章评审办法</w:t>
      </w:r>
      <w:r>
        <w:rPr>
          <w:rFonts w:hint="eastAsia" w:ascii="宋体" w:hAnsi="宋体"/>
          <w:color w:val="auto"/>
          <w:szCs w:val="21"/>
          <w:highlight w:val="none"/>
          <w:lang w:eastAsia="zh-CN"/>
        </w:rPr>
        <w:t>，</w:t>
      </w:r>
      <w:r>
        <w:rPr>
          <w:rFonts w:hint="eastAsia" w:ascii="宋体" w:hAnsi="宋体"/>
          <w:color w:val="auto"/>
          <w:szCs w:val="21"/>
          <w:highlight w:val="none"/>
        </w:rPr>
        <w:t>成交供应商在收到成交通知书后，按规定与采购人签订服务合同。</w:t>
      </w:r>
    </w:p>
    <w:p w14:paraId="1962F580">
      <w:pPr>
        <w:pStyle w:val="14"/>
        <w:numPr>
          <w:ilvl w:val="0"/>
          <w:numId w:val="0"/>
        </w:numPr>
        <w:jc w:val="both"/>
        <w:rPr>
          <w:rFonts w:hint="eastAsia"/>
          <w:b/>
          <w:sz w:val="30"/>
          <w:szCs w:val="30"/>
          <w:highlight w:val="none"/>
          <w:lang w:val="en-US" w:eastAsia="zh-CN"/>
        </w:rPr>
        <w:sectPr>
          <w:footerReference r:id="rId10" w:type="first"/>
          <w:footerReference r:id="rId9" w:type="default"/>
          <w:pgSz w:w="11906" w:h="16838"/>
          <w:pgMar w:top="1418" w:right="1286" w:bottom="1418" w:left="1418" w:header="851" w:footer="992" w:gutter="0"/>
          <w:pgNumType w:fmt="decimal" w:start="6"/>
          <w:cols w:space="720" w:num="1"/>
          <w:titlePg/>
        </w:sectPr>
      </w:pPr>
    </w:p>
    <w:p w14:paraId="25775EBB">
      <w:pPr>
        <w:pStyle w:val="14"/>
        <w:numPr>
          <w:ilvl w:val="0"/>
          <w:numId w:val="0"/>
        </w:numPr>
        <w:jc w:val="center"/>
        <w:rPr>
          <w:rFonts w:hint="eastAsia"/>
          <w:b/>
          <w:sz w:val="30"/>
          <w:szCs w:val="30"/>
          <w:highlight w:val="none"/>
          <w:lang w:val="en-US" w:eastAsia="zh-CN"/>
        </w:rPr>
      </w:pPr>
      <w:r>
        <w:rPr>
          <w:rFonts w:hint="eastAsia"/>
          <w:b/>
          <w:sz w:val="30"/>
          <w:szCs w:val="30"/>
          <w:highlight w:val="none"/>
          <w:lang w:val="en-US" w:eastAsia="zh-CN"/>
        </w:rPr>
        <w:t>第三章   采购需求</w:t>
      </w:r>
    </w:p>
    <w:p w14:paraId="1724AD55">
      <w:pPr>
        <w:rPr>
          <w:rFonts w:hint="eastAsia" w:ascii="等线" w:hAnsi="等线" w:eastAsia="等线"/>
          <w:b/>
          <w:szCs w:val="21"/>
          <w:highlight w:val="none"/>
        </w:rPr>
      </w:pPr>
      <w:r>
        <w:rPr>
          <w:rFonts w:hint="eastAsia" w:ascii="等线" w:hAnsi="等线" w:eastAsia="等线"/>
          <w:b/>
          <w:sz w:val="22"/>
          <w:szCs w:val="28"/>
          <w:highlight w:val="none"/>
          <w:lang w:val="en-US" w:eastAsia="zh-CN"/>
        </w:rPr>
        <w:t>一、全自动体外除颤仪（AED）</w:t>
      </w:r>
      <w:r>
        <w:rPr>
          <w:rFonts w:hint="eastAsia" w:ascii="等线" w:hAnsi="等线" w:eastAsia="等线"/>
          <w:b/>
          <w:sz w:val="22"/>
          <w:szCs w:val="28"/>
          <w:highlight w:val="none"/>
        </w:rPr>
        <w:t>技术参数</w:t>
      </w:r>
    </w:p>
    <w:tbl>
      <w:tblPr>
        <w:tblStyle w:val="29"/>
        <w:tblW w:w="9932"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8461"/>
      </w:tblGrid>
      <w:tr w14:paraId="1E39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5824FEE3">
            <w:pPr>
              <w:rPr>
                <w:rFonts w:hint="eastAsia" w:ascii="等线" w:hAnsi="等线" w:eastAsia="等线"/>
                <w:b/>
                <w:szCs w:val="21"/>
                <w:highlight w:val="none"/>
              </w:rPr>
            </w:pPr>
            <w:r>
              <w:rPr>
                <w:rFonts w:hint="eastAsia" w:ascii="等线" w:hAnsi="等线" w:eastAsia="等线"/>
                <w:b/>
                <w:szCs w:val="21"/>
                <w:highlight w:val="none"/>
              </w:rPr>
              <w:t>1.1物理规格/性能</w:t>
            </w:r>
          </w:p>
          <w:p w14:paraId="659F3BC8">
            <w:pPr>
              <w:rPr>
                <w:rFonts w:hint="eastAsia" w:ascii="等线" w:hAnsi="等线" w:eastAsia="等线"/>
                <w:b/>
                <w:szCs w:val="21"/>
                <w:highlight w:val="none"/>
              </w:rPr>
            </w:pPr>
          </w:p>
        </w:tc>
        <w:tc>
          <w:tcPr>
            <w:tcW w:w="8461" w:type="dxa"/>
          </w:tcPr>
          <w:p w14:paraId="547D01FB">
            <w:pPr>
              <w:rPr>
                <w:rFonts w:hint="eastAsia" w:ascii="等线" w:hAnsi="等线" w:eastAsia="等线"/>
                <w:b/>
                <w:szCs w:val="21"/>
                <w:highlight w:val="none"/>
              </w:rPr>
            </w:pPr>
            <w:r>
              <w:rPr>
                <w:rFonts w:hint="eastAsia" w:ascii="等线" w:hAnsi="等线" w:eastAsia="等线"/>
                <w:b/>
                <w:szCs w:val="21"/>
                <w:highlight w:val="none"/>
              </w:rPr>
              <w:t>1.1.1设备具备便携把手</w:t>
            </w:r>
          </w:p>
          <w:p w14:paraId="4BCDABCF">
            <w:pPr>
              <w:rPr>
                <w:rFonts w:hint="eastAsia" w:ascii="等线" w:hAnsi="等线" w:eastAsia="等线"/>
                <w:b/>
                <w:szCs w:val="21"/>
                <w:highlight w:val="none"/>
              </w:rPr>
            </w:pPr>
            <w:r>
              <w:rPr>
                <w:rFonts w:hint="eastAsia" w:ascii="等线" w:hAnsi="等线" w:eastAsia="等线"/>
                <w:b/>
                <w:szCs w:val="21"/>
                <w:highlight w:val="none"/>
              </w:rPr>
              <w:t>1.1.2▲抗冲击/跌落性能：机器六面均可承受≥1.5 m跌落冲击</w:t>
            </w:r>
          </w:p>
          <w:p w14:paraId="4FC124F1">
            <w:pPr>
              <w:rPr>
                <w:rFonts w:hint="eastAsia" w:ascii="等线" w:hAnsi="等线" w:eastAsia="等线"/>
                <w:b/>
                <w:szCs w:val="21"/>
                <w:highlight w:val="none"/>
              </w:rPr>
            </w:pPr>
            <w:r>
              <w:rPr>
                <w:rFonts w:hint="eastAsia" w:ascii="等线" w:hAnsi="等线" w:eastAsia="等线"/>
                <w:b/>
                <w:szCs w:val="21"/>
                <w:highlight w:val="none"/>
              </w:rPr>
              <w:t>1.1.3防尘防水级别：防尘防水级别IP55</w:t>
            </w:r>
          </w:p>
          <w:p w14:paraId="0C7008B8">
            <w:pPr>
              <w:rPr>
                <w:rFonts w:hint="eastAsia" w:ascii="等线" w:hAnsi="等线" w:eastAsia="等线"/>
                <w:b/>
                <w:szCs w:val="21"/>
                <w:highlight w:val="none"/>
              </w:rPr>
            </w:pPr>
            <w:r>
              <w:rPr>
                <w:rFonts w:hint="eastAsia" w:ascii="等线" w:hAnsi="等线" w:eastAsia="等线"/>
                <w:b/>
                <w:szCs w:val="21"/>
                <w:highlight w:val="none"/>
              </w:rPr>
              <w:t>1.1.4工作温度范围满足-20℃～50℃</w:t>
            </w:r>
          </w:p>
          <w:p w14:paraId="0C602590">
            <w:pPr>
              <w:rPr>
                <w:rFonts w:hint="eastAsia" w:ascii="等线" w:hAnsi="等线" w:eastAsia="等线"/>
                <w:b/>
                <w:szCs w:val="21"/>
                <w:highlight w:val="none"/>
              </w:rPr>
            </w:pPr>
            <w:r>
              <w:rPr>
                <w:rFonts w:hint="eastAsia" w:ascii="等线" w:hAnsi="等线" w:eastAsia="等线"/>
                <w:b/>
                <w:szCs w:val="21"/>
                <w:highlight w:val="none"/>
              </w:rPr>
              <w:t>1.1.5▲工作湿度范围：0%～95%非冷凝</w:t>
            </w:r>
          </w:p>
          <w:p w14:paraId="71B6076C">
            <w:pPr>
              <w:rPr>
                <w:rFonts w:hint="eastAsia" w:ascii="等线" w:hAnsi="等线" w:eastAsia="等线"/>
                <w:b/>
                <w:szCs w:val="21"/>
                <w:highlight w:val="none"/>
              </w:rPr>
            </w:pPr>
            <w:r>
              <w:rPr>
                <w:rFonts w:hint="eastAsia" w:ascii="等线" w:hAnsi="等线" w:eastAsia="等线"/>
                <w:b/>
                <w:szCs w:val="21"/>
                <w:highlight w:val="none"/>
              </w:rPr>
              <w:t>1.1.6工作大气压力范围：570hPa～1062hPa</w:t>
            </w:r>
          </w:p>
          <w:p w14:paraId="0863AFC2">
            <w:pPr>
              <w:rPr>
                <w:rFonts w:hint="eastAsia" w:ascii="等线" w:hAnsi="等线" w:eastAsia="等线"/>
                <w:b/>
                <w:szCs w:val="21"/>
                <w:highlight w:val="none"/>
              </w:rPr>
            </w:pPr>
            <w:r>
              <w:rPr>
                <w:rFonts w:hint="eastAsia" w:ascii="等线" w:hAnsi="等线" w:eastAsia="等线"/>
                <w:b/>
                <w:szCs w:val="21"/>
                <w:highlight w:val="none"/>
              </w:rPr>
              <w:t>1.1.7运输、储存温度：-30℃～70℃</w:t>
            </w:r>
          </w:p>
          <w:p w14:paraId="0974D633">
            <w:pPr>
              <w:rPr>
                <w:rFonts w:hint="eastAsia" w:ascii="等线" w:hAnsi="等线" w:eastAsia="等线"/>
                <w:b/>
                <w:szCs w:val="21"/>
                <w:highlight w:val="none"/>
              </w:rPr>
            </w:pPr>
            <w:r>
              <w:rPr>
                <w:rFonts w:hint="eastAsia" w:ascii="等线" w:hAnsi="等线" w:eastAsia="等线"/>
                <w:b/>
                <w:szCs w:val="21"/>
                <w:highlight w:val="none"/>
              </w:rPr>
              <w:t>1.1.8▲符合EN1789急救车标准认证</w:t>
            </w:r>
          </w:p>
          <w:p w14:paraId="5AE1EFA9">
            <w:pPr>
              <w:rPr>
                <w:rFonts w:hint="eastAsia" w:ascii="等线" w:hAnsi="等线" w:eastAsia="等线"/>
                <w:b/>
                <w:szCs w:val="21"/>
                <w:highlight w:val="none"/>
              </w:rPr>
            </w:pPr>
            <w:r>
              <w:rPr>
                <w:rFonts w:hint="eastAsia" w:ascii="等线" w:hAnsi="等线" w:eastAsia="等线"/>
                <w:b/>
                <w:szCs w:val="21"/>
                <w:highlight w:val="none"/>
              </w:rPr>
              <w:t>1.1.</w:t>
            </w:r>
            <w:r>
              <w:rPr>
                <w:rFonts w:hint="eastAsia" w:ascii="等线" w:hAnsi="等线" w:eastAsia="等线"/>
                <w:b/>
                <w:szCs w:val="21"/>
                <w:highlight w:val="none"/>
                <w:lang w:val="en-US" w:eastAsia="zh-CN"/>
              </w:rPr>
              <w:t xml:space="preserve">9 </w:t>
            </w:r>
            <w:r>
              <w:rPr>
                <w:rFonts w:hint="eastAsia" w:ascii="等线" w:hAnsi="等线" w:eastAsia="等线"/>
                <w:b/>
                <w:szCs w:val="21"/>
                <w:highlight w:val="none"/>
              </w:rPr>
              <w:t>▲≥7英寸彩色显示屏</w:t>
            </w:r>
            <w:r>
              <w:rPr>
                <w:rFonts w:hint="eastAsia" w:ascii="等线" w:hAnsi="等线" w:eastAsia="等线"/>
                <w:b/>
                <w:szCs w:val="21"/>
                <w:highlight w:val="none"/>
                <w:lang w:val="en-US" w:eastAsia="zh-CN"/>
              </w:rPr>
              <w:t>,</w:t>
            </w:r>
            <w:r>
              <w:rPr>
                <w:rFonts w:hint="eastAsia" w:ascii="等线" w:hAnsi="等线" w:eastAsia="等线"/>
                <w:b/>
                <w:szCs w:val="21"/>
                <w:highlight w:val="none"/>
              </w:rPr>
              <w:t>具有语音、动画、图形指导用户执行急救操作</w:t>
            </w:r>
            <w:r>
              <w:rPr>
                <w:rFonts w:hint="eastAsia" w:ascii="等线" w:hAnsi="等线" w:eastAsia="等线"/>
                <w:b/>
                <w:szCs w:val="21"/>
                <w:highlight w:val="none"/>
                <w:lang w:val="en-US" w:eastAsia="zh-CN"/>
              </w:rPr>
              <w:t>,</w:t>
            </w:r>
            <w:r>
              <w:rPr>
                <w:rFonts w:hint="eastAsia" w:ascii="等线" w:hAnsi="等线" w:eastAsia="等线"/>
                <w:b/>
                <w:szCs w:val="21"/>
                <w:highlight w:val="none"/>
              </w:rPr>
              <w:t>屏幕具有自适应环境光调节功能</w:t>
            </w:r>
            <w:r>
              <w:rPr>
                <w:rFonts w:hint="eastAsia" w:ascii="等线" w:hAnsi="等线" w:eastAsia="等线"/>
                <w:b/>
                <w:szCs w:val="21"/>
                <w:highlight w:val="none"/>
                <w:lang w:val="en-US" w:eastAsia="zh-CN"/>
              </w:rPr>
              <w:t>,</w:t>
            </w:r>
            <w:r>
              <w:rPr>
                <w:rFonts w:hint="eastAsia" w:ascii="等线" w:hAnsi="等线" w:eastAsia="等线"/>
                <w:b/>
                <w:szCs w:val="21"/>
                <w:highlight w:val="none"/>
              </w:rPr>
              <w:t>设备屏幕支持显示ECG波形。</w:t>
            </w:r>
          </w:p>
        </w:tc>
      </w:tr>
      <w:tr w14:paraId="5CD8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30B3205A">
            <w:pPr>
              <w:rPr>
                <w:rFonts w:hint="eastAsia" w:ascii="等线" w:hAnsi="等线" w:eastAsia="等线"/>
                <w:b/>
                <w:szCs w:val="21"/>
                <w:highlight w:val="none"/>
              </w:rPr>
            </w:pPr>
            <w:r>
              <w:rPr>
                <w:rFonts w:hint="eastAsia" w:ascii="等线" w:hAnsi="等线" w:eastAsia="等线"/>
                <w:b/>
                <w:szCs w:val="21"/>
                <w:highlight w:val="none"/>
              </w:rPr>
              <w:t>1.2除颤性能</w:t>
            </w:r>
          </w:p>
          <w:p w14:paraId="1086427B">
            <w:pPr>
              <w:rPr>
                <w:rFonts w:hint="eastAsia" w:ascii="等线" w:hAnsi="等线" w:eastAsia="等线"/>
                <w:b/>
                <w:szCs w:val="21"/>
                <w:highlight w:val="none"/>
              </w:rPr>
            </w:pPr>
          </w:p>
        </w:tc>
        <w:tc>
          <w:tcPr>
            <w:tcW w:w="8461" w:type="dxa"/>
          </w:tcPr>
          <w:p w14:paraId="26142937">
            <w:pPr>
              <w:rPr>
                <w:rFonts w:hint="eastAsia" w:ascii="等线" w:hAnsi="等线" w:eastAsia="等线"/>
                <w:b/>
                <w:szCs w:val="21"/>
                <w:highlight w:val="none"/>
              </w:rPr>
            </w:pPr>
            <w:r>
              <w:rPr>
                <w:rFonts w:hint="eastAsia" w:ascii="等线" w:hAnsi="等线" w:eastAsia="等线"/>
                <w:b/>
                <w:szCs w:val="21"/>
                <w:highlight w:val="none"/>
              </w:rPr>
              <w:t>1.2.1▲采用双相波技术，双相指数截断（BTE）波形，波形参数可根据病人阻抗进行自动补偿，输出能量：成人最大能量可支持360J，病人阻抗范围：20～300Ω</w:t>
            </w:r>
          </w:p>
          <w:p w14:paraId="4EECE3C2">
            <w:pPr>
              <w:rPr>
                <w:rFonts w:hint="eastAsia" w:ascii="等线" w:hAnsi="等线" w:eastAsia="等线"/>
                <w:b/>
                <w:szCs w:val="21"/>
                <w:highlight w:val="none"/>
              </w:rPr>
            </w:pPr>
            <w:r>
              <w:rPr>
                <w:rFonts w:hint="eastAsia" w:ascii="等线" w:hAnsi="等线" w:eastAsia="等线"/>
                <w:b/>
                <w:szCs w:val="21"/>
                <w:highlight w:val="none"/>
                <w:lang w:val="en-US" w:eastAsia="zh-CN"/>
              </w:rPr>
              <w:t>1.2.2</w:t>
            </w:r>
            <w:r>
              <w:rPr>
                <w:rFonts w:hint="eastAsia" w:ascii="等线" w:hAnsi="等线" w:eastAsia="等线"/>
                <w:b/>
                <w:szCs w:val="21"/>
                <w:highlight w:val="none"/>
              </w:rPr>
              <w:t>▲</w:t>
            </w:r>
            <w:r>
              <w:rPr>
                <w:rFonts w:hint="eastAsia" w:ascii="等线" w:hAnsi="等线" w:eastAsia="等线"/>
                <w:b/>
                <w:szCs w:val="21"/>
                <w:highlight w:val="none"/>
                <w:lang w:eastAsia="zh-CN"/>
              </w:rPr>
              <w:t>除颤后</w:t>
            </w:r>
            <w:r>
              <w:rPr>
                <w:rFonts w:hint="eastAsia" w:ascii="等线" w:hAnsi="等线" w:eastAsia="等线"/>
                <w:b/>
                <w:szCs w:val="21"/>
                <w:highlight w:val="none"/>
                <w:lang w:val="en-US" w:eastAsia="zh-CN"/>
              </w:rPr>
              <w:t>ECG波形恢复的时间不大于2s</w:t>
            </w:r>
          </w:p>
        </w:tc>
      </w:tr>
      <w:tr w14:paraId="572E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1DA6A479">
            <w:pPr>
              <w:rPr>
                <w:rFonts w:hint="eastAsia" w:ascii="等线" w:hAnsi="等线" w:eastAsia="等线"/>
                <w:b/>
                <w:szCs w:val="21"/>
                <w:highlight w:val="none"/>
              </w:rPr>
            </w:pPr>
            <w:r>
              <w:rPr>
                <w:rFonts w:hint="eastAsia" w:ascii="等线" w:hAnsi="等线" w:eastAsia="等线"/>
                <w:b/>
                <w:szCs w:val="21"/>
                <w:highlight w:val="none"/>
              </w:rPr>
              <w:t>1.3电池</w:t>
            </w:r>
          </w:p>
        </w:tc>
        <w:tc>
          <w:tcPr>
            <w:tcW w:w="8461" w:type="dxa"/>
          </w:tcPr>
          <w:p w14:paraId="4CD6C1C0">
            <w:pPr>
              <w:rPr>
                <w:rFonts w:hint="default" w:ascii="等线" w:hAnsi="等线" w:eastAsia="等线"/>
                <w:b/>
                <w:szCs w:val="21"/>
                <w:highlight w:val="none"/>
              </w:rPr>
            </w:pPr>
            <w:r>
              <w:rPr>
                <w:rFonts w:hint="eastAsia" w:ascii="等线" w:hAnsi="等线" w:eastAsia="等线"/>
                <w:b/>
                <w:szCs w:val="21"/>
                <w:highlight w:val="none"/>
              </w:rPr>
              <w:t>1.3.1▲在室温温度环境下，电池待机寿命不少于5年</w:t>
            </w:r>
            <w:r>
              <w:rPr>
                <w:rFonts w:hint="default" w:ascii="等线" w:hAnsi="等线" w:eastAsia="等线"/>
                <w:b/>
                <w:szCs w:val="21"/>
                <w:highlight w:val="none"/>
              </w:rPr>
              <w:t>。</w:t>
            </w:r>
          </w:p>
          <w:p w14:paraId="4437938B">
            <w:pPr>
              <w:rPr>
                <w:rFonts w:hint="eastAsia" w:ascii="等线" w:hAnsi="等线" w:eastAsia="等线"/>
                <w:b/>
                <w:szCs w:val="21"/>
                <w:highlight w:val="none"/>
              </w:rPr>
            </w:pPr>
            <w:r>
              <w:rPr>
                <w:rFonts w:hint="eastAsia" w:ascii="等线" w:hAnsi="等线" w:eastAsia="等线"/>
                <w:b/>
                <w:szCs w:val="21"/>
                <w:highlight w:val="none"/>
              </w:rPr>
              <w:t>1.3.2▲在适合条件下，至少可支持360次200J除颤治疗或210次360J除颤治疗</w:t>
            </w:r>
          </w:p>
          <w:p w14:paraId="4DD4445E">
            <w:pPr>
              <w:rPr>
                <w:rFonts w:hint="eastAsia" w:ascii="等线" w:hAnsi="等线" w:eastAsia="等线"/>
                <w:b/>
                <w:szCs w:val="21"/>
                <w:highlight w:val="none"/>
              </w:rPr>
            </w:pPr>
            <w:r>
              <w:rPr>
                <w:rFonts w:hint="eastAsia" w:ascii="等线" w:hAnsi="等线" w:eastAsia="等线"/>
                <w:b/>
                <w:szCs w:val="21"/>
                <w:highlight w:val="none"/>
              </w:rPr>
              <w:t>1.3.3低电量报警后，至少还可持续30分钟工作时间和至少10次200J除颤充放电或至少6次360J除颤放电</w:t>
            </w:r>
          </w:p>
        </w:tc>
      </w:tr>
      <w:tr w14:paraId="1C72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7B951CE5">
            <w:pPr>
              <w:rPr>
                <w:rFonts w:hint="eastAsia" w:ascii="等线" w:hAnsi="等线" w:eastAsia="等线"/>
                <w:b/>
                <w:szCs w:val="21"/>
                <w:highlight w:val="none"/>
              </w:rPr>
            </w:pPr>
            <w:r>
              <w:rPr>
                <w:rFonts w:hint="eastAsia" w:ascii="等线" w:hAnsi="等线" w:eastAsia="等线"/>
                <w:b/>
                <w:szCs w:val="21"/>
                <w:highlight w:val="none"/>
              </w:rPr>
              <w:t>1.4电极片</w:t>
            </w:r>
          </w:p>
          <w:p w14:paraId="5BFA0324">
            <w:pPr>
              <w:rPr>
                <w:rFonts w:hint="eastAsia" w:ascii="等线" w:hAnsi="等线" w:eastAsia="等线"/>
                <w:b/>
                <w:szCs w:val="21"/>
                <w:highlight w:val="none"/>
              </w:rPr>
            </w:pPr>
          </w:p>
        </w:tc>
        <w:tc>
          <w:tcPr>
            <w:tcW w:w="8461" w:type="dxa"/>
          </w:tcPr>
          <w:p w14:paraId="24E36201">
            <w:pPr>
              <w:rPr>
                <w:rFonts w:hint="eastAsia" w:ascii="等线" w:hAnsi="等线" w:eastAsia="等线"/>
                <w:b/>
                <w:szCs w:val="21"/>
                <w:highlight w:val="none"/>
              </w:rPr>
            </w:pPr>
            <w:r>
              <w:rPr>
                <w:rFonts w:hint="eastAsia" w:ascii="等线" w:hAnsi="等线" w:eastAsia="等线"/>
                <w:b/>
                <w:szCs w:val="21"/>
                <w:highlight w:val="none"/>
              </w:rPr>
              <w:t>1.4.1自动识别成人、小儿电极片，根据电极片类型自动选择对应的除颤能量</w:t>
            </w:r>
          </w:p>
          <w:p w14:paraId="08251F25">
            <w:pPr>
              <w:rPr>
                <w:rFonts w:hint="eastAsia" w:ascii="等线" w:hAnsi="等线" w:eastAsia="等线"/>
                <w:b/>
                <w:szCs w:val="21"/>
                <w:highlight w:val="none"/>
              </w:rPr>
            </w:pPr>
            <w:r>
              <w:rPr>
                <w:rFonts w:hint="eastAsia" w:ascii="等线" w:hAnsi="等线" w:eastAsia="等线"/>
                <w:b/>
                <w:szCs w:val="21"/>
                <w:highlight w:val="none"/>
              </w:rPr>
              <w:t>1.4.2具有电极片有效期自检功能和电极片过期提示</w:t>
            </w:r>
          </w:p>
          <w:p w14:paraId="04CEE3D1">
            <w:pPr>
              <w:rPr>
                <w:rFonts w:hint="eastAsia" w:ascii="等线" w:hAnsi="等线" w:eastAsia="等线"/>
                <w:b/>
                <w:szCs w:val="21"/>
                <w:highlight w:val="none"/>
              </w:rPr>
            </w:pPr>
            <w:r>
              <w:rPr>
                <w:rFonts w:hint="eastAsia" w:ascii="等线" w:hAnsi="等线" w:eastAsia="等线"/>
                <w:b/>
                <w:szCs w:val="21"/>
                <w:highlight w:val="none"/>
              </w:rPr>
              <w:t>1.4.3提供智能语音播报，智能提示急救人员除去病人的衣物、粘贴电极片</w:t>
            </w:r>
          </w:p>
        </w:tc>
      </w:tr>
      <w:tr w14:paraId="295B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047A52C5">
            <w:pPr>
              <w:rPr>
                <w:rFonts w:hint="eastAsia" w:ascii="等线" w:hAnsi="等线" w:eastAsia="等线"/>
                <w:b/>
                <w:szCs w:val="21"/>
                <w:highlight w:val="none"/>
              </w:rPr>
            </w:pPr>
            <w:r>
              <w:rPr>
                <w:rFonts w:hint="eastAsia" w:ascii="等线" w:hAnsi="等线" w:eastAsia="等线"/>
                <w:b/>
                <w:szCs w:val="21"/>
                <w:highlight w:val="none"/>
              </w:rPr>
              <w:t>1.5操作</w:t>
            </w:r>
          </w:p>
          <w:p w14:paraId="3A3A1ADE">
            <w:pPr>
              <w:rPr>
                <w:rFonts w:hint="eastAsia" w:ascii="等线" w:hAnsi="等线" w:eastAsia="等线"/>
                <w:b/>
                <w:szCs w:val="21"/>
                <w:highlight w:val="none"/>
              </w:rPr>
            </w:pPr>
          </w:p>
        </w:tc>
        <w:tc>
          <w:tcPr>
            <w:tcW w:w="8461" w:type="dxa"/>
          </w:tcPr>
          <w:p w14:paraId="0A8510B1">
            <w:pPr>
              <w:rPr>
                <w:rFonts w:hint="eastAsia" w:ascii="等线" w:hAnsi="等线" w:eastAsia="等线"/>
                <w:b/>
                <w:szCs w:val="21"/>
                <w:highlight w:val="none"/>
              </w:rPr>
            </w:pPr>
            <w:r>
              <w:rPr>
                <w:rFonts w:hint="eastAsia" w:ascii="等线" w:hAnsi="等线" w:eastAsia="等线"/>
                <w:b/>
                <w:szCs w:val="21"/>
                <w:highlight w:val="none"/>
              </w:rPr>
              <w:t>1.5.1可一键快速切换中文、英文或自定义多种语言</w:t>
            </w:r>
          </w:p>
          <w:p w14:paraId="01C7AA00">
            <w:pPr>
              <w:rPr>
                <w:rFonts w:hint="eastAsia" w:ascii="等线" w:hAnsi="等线" w:eastAsia="等线"/>
                <w:b/>
                <w:szCs w:val="21"/>
                <w:highlight w:val="none"/>
              </w:rPr>
            </w:pPr>
            <w:r>
              <w:rPr>
                <w:rFonts w:hint="eastAsia" w:ascii="等线" w:hAnsi="等线" w:eastAsia="等线"/>
                <w:b/>
                <w:szCs w:val="21"/>
                <w:highlight w:val="none"/>
              </w:rPr>
              <w:t>1.5.2支持成人/小儿患者类型快速一键切换，可根据病人类型自动切换提示信息、除颤能量和CPR按压模式</w:t>
            </w:r>
          </w:p>
          <w:p w14:paraId="658D8554">
            <w:pPr>
              <w:rPr>
                <w:rFonts w:hint="eastAsia" w:ascii="等线" w:hAnsi="等线" w:eastAsia="等线"/>
                <w:b/>
                <w:szCs w:val="21"/>
                <w:highlight w:val="none"/>
              </w:rPr>
            </w:pPr>
            <w:r>
              <w:rPr>
                <w:rFonts w:hint="eastAsia" w:ascii="等线" w:hAnsi="等线" w:eastAsia="等线"/>
                <w:b/>
                <w:szCs w:val="21"/>
                <w:highlight w:val="none"/>
              </w:rPr>
              <w:t>1.5.3 CPR按压模式支持配置30:2，15:2和仅按压模式</w:t>
            </w:r>
          </w:p>
          <w:p w14:paraId="5D20BE9C">
            <w:pPr>
              <w:rPr>
                <w:rFonts w:hint="eastAsia" w:ascii="等线" w:hAnsi="等线" w:eastAsia="等线"/>
                <w:b/>
                <w:szCs w:val="21"/>
                <w:highlight w:val="none"/>
              </w:rPr>
            </w:pPr>
            <w:r>
              <w:rPr>
                <w:rFonts w:hint="eastAsia" w:ascii="等线" w:hAnsi="等线" w:eastAsia="等线"/>
                <w:b/>
                <w:szCs w:val="21"/>
                <w:highlight w:val="none"/>
                <w:lang w:val="en-US" w:eastAsia="zh-CN"/>
              </w:rPr>
              <w:t>1.5.4设备会根据心律分析的结果，自行判断是否需要对患者进行放电除颤,无电击按钮</w:t>
            </w:r>
          </w:p>
        </w:tc>
      </w:tr>
      <w:tr w14:paraId="3762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00075619">
            <w:pPr>
              <w:rPr>
                <w:rFonts w:hint="eastAsia" w:ascii="等线" w:hAnsi="等线" w:eastAsia="等线"/>
                <w:b/>
                <w:szCs w:val="21"/>
                <w:highlight w:val="none"/>
              </w:rPr>
            </w:pPr>
            <w:r>
              <w:rPr>
                <w:rFonts w:hint="eastAsia" w:ascii="等线" w:hAnsi="等线" w:eastAsia="等线"/>
                <w:b/>
                <w:szCs w:val="21"/>
                <w:highlight w:val="none"/>
              </w:rPr>
              <w:t>1.6数据传输和存储</w:t>
            </w:r>
          </w:p>
          <w:p w14:paraId="2DF8232E">
            <w:pPr>
              <w:rPr>
                <w:rFonts w:hint="eastAsia" w:ascii="等线" w:hAnsi="等线" w:eastAsia="等线"/>
                <w:b/>
                <w:szCs w:val="21"/>
                <w:highlight w:val="none"/>
              </w:rPr>
            </w:pPr>
          </w:p>
        </w:tc>
        <w:tc>
          <w:tcPr>
            <w:tcW w:w="8461" w:type="dxa"/>
          </w:tcPr>
          <w:p w14:paraId="5FDE59D8">
            <w:pPr>
              <w:rPr>
                <w:rFonts w:hint="eastAsia" w:ascii="等线" w:hAnsi="等线" w:eastAsia="等线"/>
                <w:b/>
                <w:szCs w:val="21"/>
                <w:highlight w:val="none"/>
              </w:rPr>
            </w:pPr>
            <w:r>
              <w:rPr>
                <w:rFonts w:hint="eastAsia" w:ascii="等线" w:hAnsi="等线" w:eastAsia="等线"/>
                <w:b/>
                <w:szCs w:val="21"/>
                <w:highlight w:val="none"/>
              </w:rPr>
              <w:t>1.6.1数据传输：支持内置WIFI</w:t>
            </w:r>
            <w:r>
              <w:rPr>
                <w:rFonts w:hint="eastAsia" w:ascii="等线" w:hAnsi="等线" w:eastAsia="等线"/>
                <w:b/>
                <w:szCs w:val="21"/>
                <w:highlight w:val="none"/>
                <w:lang w:val="en-US" w:eastAsia="zh-CN"/>
              </w:rPr>
              <w:t>/3G</w:t>
            </w:r>
            <w:r>
              <w:rPr>
                <w:rFonts w:hint="eastAsia" w:ascii="等线" w:hAnsi="等线" w:eastAsia="等线"/>
                <w:b/>
                <w:szCs w:val="21"/>
                <w:highlight w:val="none"/>
              </w:rPr>
              <w:t xml:space="preserve">/4G/5G无线数据传输功能，可将数据传输到AED管理平台 </w:t>
            </w:r>
          </w:p>
          <w:p w14:paraId="3086C784">
            <w:pPr>
              <w:rPr>
                <w:rFonts w:hint="eastAsia" w:ascii="等线" w:hAnsi="等线" w:eastAsia="等线"/>
                <w:b/>
                <w:szCs w:val="21"/>
                <w:highlight w:val="none"/>
              </w:rPr>
            </w:pPr>
            <w:r>
              <w:rPr>
                <w:rFonts w:hint="eastAsia" w:ascii="等线" w:hAnsi="等线" w:eastAsia="等线"/>
                <w:b/>
                <w:szCs w:val="21"/>
                <w:highlight w:val="none"/>
              </w:rPr>
              <w:t>1.6.2数据管理：存储5h的ECG波形，可存储不少于1500份自检报告，支持1000条报警事件；可保存1h抢救现场录音</w:t>
            </w:r>
          </w:p>
        </w:tc>
      </w:tr>
      <w:tr w14:paraId="1AE9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35898B5D">
            <w:pPr>
              <w:rPr>
                <w:rFonts w:hint="eastAsia" w:ascii="等线" w:hAnsi="等线" w:eastAsia="等线"/>
                <w:b/>
                <w:szCs w:val="21"/>
                <w:highlight w:val="none"/>
              </w:rPr>
            </w:pPr>
            <w:r>
              <w:rPr>
                <w:rFonts w:hint="eastAsia" w:ascii="等线" w:hAnsi="等线" w:eastAsia="等线"/>
                <w:b/>
                <w:szCs w:val="21"/>
                <w:highlight w:val="none"/>
              </w:rPr>
              <w:t>1.7维护与自检</w:t>
            </w:r>
          </w:p>
        </w:tc>
        <w:tc>
          <w:tcPr>
            <w:tcW w:w="8461" w:type="dxa"/>
          </w:tcPr>
          <w:p w14:paraId="373278D2">
            <w:pPr>
              <w:rPr>
                <w:rFonts w:hint="eastAsia" w:ascii="等线" w:hAnsi="等线" w:eastAsia="等线"/>
                <w:b/>
                <w:szCs w:val="21"/>
                <w:highlight w:val="none"/>
              </w:rPr>
            </w:pPr>
            <w:r>
              <w:rPr>
                <w:rFonts w:hint="eastAsia" w:ascii="等线" w:hAnsi="等线" w:eastAsia="等线"/>
                <w:b/>
                <w:szCs w:val="21"/>
                <w:highlight w:val="none"/>
              </w:rPr>
              <w:t>1.7.1具有用户自检和设备自检功能支持每日、每周、每月、每季度的设备自检</w:t>
            </w:r>
          </w:p>
          <w:p w14:paraId="7B5653E8">
            <w:pPr>
              <w:rPr>
                <w:rFonts w:hint="eastAsia" w:ascii="等线" w:hAnsi="等线" w:eastAsia="等线"/>
                <w:b/>
                <w:szCs w:val="21"/>
                <w:highlight w:val="none"/>
              </w:rPr>
            </w:pPr>
            <w:r>
              <w:rPr>
                <w:rFonts w:hint="eastAsia" w:ascii="等线" w:hAnsi="等线" w:eastAsia="等线"/>
                <w:b/>
                <w:szCs w:val="21"/>
                <w:highlight w:val="none"/>
              </w:rPr>
              <w:t>1.7.2提供设备状态指示灯</w:t>
            </w:r>
          </w:p>
        </w:tc>
      </w:tr>
      <w:tr w14:paraId="0AE3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3584D791">
            <w:pPr>
              <w:rPr>
                <w:rFonts w:hint="eastAsia" w:ascii="等线" w:hAnsi="等线" w:eastAsia="等线"/>
                <w:b/>
                <w:szCs w:val="21"/>
                <w:highlight w:val="none"/>
              </w:rPr>
            </w:pPr>
            <w:r>
              <w:rPr>
                <w:rFonts w:hint="eastAsia" w:ascii="等线" w:hAnsi="等线" w:eastAsia="等线"/>
                <w:b/>
                <w:szCs w:val="21"/>
                <w:highlight w:val="none"/>
              </w:rPr>
              <w:t>1.8机箱要求</w:t>
            </w:r>
          </w:p>
        </w:tc>
        <w:tc>
          <w:tcPr>
            <w:tcW w:w="8461" w:type="dxa"/>
          </w:tcPr>
          <w:p w14:paraId="11A68414">
            <w:pPr>
              <w:rPr>
                <w:rFonts w:hint="eastAsia" w:ascii="等线" w:hAnsi="等线" w:eastAsia="等线"/>
                <w:b/>
                <w:szCs w:val="21"/>
                <w:highlight w:val="none"/>
              </w:rPr>
            </w:pPr>
            <w:r>
              <w:rPr>
                <w:rFonts w:hint="eastAsia" w:ascii="等线" w:hAnsi="等线" w:eastAsia="等线"/>
                <w:b/>
                <w:szCs w:val="21"/>
                <w:highlight w:val="none"/>
              </w:rPr>
              <w:t>1.8.1采用壁挂式机箱</w:t>
            </w:r>
            <w:r>
              <w:rPr>
                <w:rFonts w:hint="eastAsia" w:ascii="等线" w:hAnsi="等线" w:eastAsia="等线"/>
                <w:b/>
                <w:szCs w:val="21"/>
                <w:highlight w:val="none"/>
                <w:lang w:val="en-US" w:eastAsia="zh-Hans"/>
              </w:rPr>
              <w:t>或</w:t>
            </w:r>
            <w:r>
              <w:rPr>
                <w:rFonts w:hint="eastAsia" w:ascii="等线" w:hAnsi="等线" w:eastAsia="等线"/>
                <w:b/>
                <w:szCs w:val="21"/>
                <w:highlight w:val="none"/>
              </w:rPr>
              <w:t>立地式机柜，可定制外箱颜色和标语。</w:t>
            </w:r>
          </w:p>
        </w:tc>
      </w:tr>
      <w:tr w14:paraId="2B35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3D30E84E">
            <w:pPr>
              <w:rPr>
                <w:rFonts w:hint="eastAsia" w:ascii="等线" w:hAnsi="等线" w:eastAsia="等线"/>
                <w:b/>
                <w:szCs w:val="21"/>
                <w:highlight w:val="none"/>
              </w:rPr>
            </w:pPr>
            <w:r>
              <w:rPr>
                <w:rFonts w:hint="eastAsia" w:ascii="等线" w:hAnsi="等线" w:eastAsia="等线"/>
                <w:b/>
                <w:szCs w:val="21"/>
                <w:highlight w:val="none"/>
              </w:rPr>
              <w:t>1.9</w:t>
            </w:r>
            <w:r>
              <w:rPr>
                <w:rFonts w:hint="eastAsia" w:ascii="等线" w:hAnsi="等线" w:eastAsia="等线"/>
                <w:b/>
                <w:szCs w:val="21"/>
                <w:highlight w:val="none"/>
                <w:lang w:val="en-US" w:eastAsia="zh-CN"/>
              </w:rPr>
              <w:t xml:space="preserve"> </w:t>
            </w:r>
            <w:r>
              <w:rPr>
                <w:rFonts w:hint="eastAsia" w:ascii="等线" w:hAnsi="等线" w:eastAsia="等线"/>
                <w:b/>
                <w:szCs w:val="21"/>
                <w:highlight w:val="none"/>
              </w:rPr>
              <w:t>AED智能管理系统</w:t>
            </w:r>
          </w:p>
          <w:p w14:paraId="57C3DDFA">
            <w:pPr>
              <w:rPr>
                <w:rFonts w:hint="eastAsia" w:ascii="等线" w:hAnsi="等线" w:eastAsia="等线"/>
                <w:b/>
                <w:szCs w:val="21"/>
                <w:highlight w:val="none"/>
              </w:rPr>
            </w:pPr>
          </w:p>
        </w:tc>
        <w:tc>
          <w:tcPr>
            <w:tcW w:w="8461" w:type="dxa"/>
          </w:tcPr>
          <w:p w14:paraId="6592A6D9">
            <w:pPr>
              <w:rPr>
                <w:rFonts w:hint="eastAsia" w:ascii="等线" w:hAnsi="等线" w:eastAsia="等线"/>
                <w:b/>
                <w:szCs w:val="21"/>
                <w:highlight w:val="none"/>
              </w:rPr>
            </w:pPr>
            <w:r>
              <w:rPr>
                <w:rFonts w:hint="eastAsia" w:ascii="等线" w:hAnsi="等线" w:eastAsia="等线"/>
                <w:b/>
                <w:szCs w:val="21"/>
                <w:highlight w:val="none"/>
              </w:rPr>
              <w:t>1.9.1系统功能：支持AED设备信息维护、监控（自检、定位、报警、预警、位移监测）、维护日志、权限管理、急救人员管理、急救实时反馈等功能。提供地图显示模式，在AED地图上显示相关信息。</w:t>
            </w:r>
          </w:p>
          <w:p w14:paraId="3FDE36DA">
            <w:pPr>
              <w:rPr>
                <w:rFonts w:hint="eastAsia" w:ascii="等线" w:hAnsi="等线" w:eastAsia="等线"/>
                <w:b/>
                <w:szCs w:val="21"/>
                <w:highlight w:val="none"/>
              </w:rPr>
            </w:pPr>
            <w:r>
              <w:rPr>
                <w:rFonts w:hint="eastAsia" w:ascii="等线" w:hAnsi="等线" w:eastAsia="等线"/>
                <w:b/>
                <w:szCs w:val="21"/>
                <w:highlight w:val="none"/>
              </w:rPr>
              <w:t>1.9.2系统反馈功能：设备运行状态显示，根据自检结果，正常/故障显示设备状态，故障时发出报警信息并发送消息到设备管理者；具有急救事件实时反馈功能，系统发送信息至设备绑定管理者或急救员，并自动显示所发生地位置信息。</w:t>
            </w:r>
          </w:p>
          <w:p w14:paraId="06FDFA97">
            <w:pPr>
              <w:rPr>
                <w:rFonts w:hint="eastAsia" w:ascii="等线" w:hAnsi="等线" w:eastAsia="等线"/>
                <w:b/>
                <w:szCs w:val="21"/>
                <w:highlight w:val="none"/>
              </w:rPr>
            </w:pPr>
            <w:r>
              <w:rPr>
                <w:rFonts w:hint="eastAsia" w:ascii="等线" w:hAnsi="等线" w:eastAsia="等线"/>
                <w:b/>
                <w:szCs w:val="21"/>
                <w:highlight w:val="none"/>
              </w:rPr>
              <w:t>1.9.3系统管理：要求提供采购人独立的授权管理账号，开放管理权限，支持采购人随时随地通过手机、平板、电脑自行监管查看，通过分级授权和权限管理实现统一在线管理。</w:t>
            </w:r>
          </w:p>
        </w:tc>
      </w:tr>
    </w:tbl>
    <w:p w14:paraId="0424F8AF">
      <w:pPr>
        <w:rPr>
          <w:rFonts w:hint="eastAsia" w:ascii="等线" w:hAnsi="等线" w:eastAsia="等线"/>
          <w:b/>
          <w:sz w:val="22"/>
          <w:szCs w:val="28"/>
          <w:highlight w:val="none"/>
          <w:lang w:val="en-US" w:eastAsia="zh-CN"/>
        </w:rPr>
      </w:pPr>
    </w:p>
    <w:p w14:paraId="1B917895">
      <w:pPr>
        <w:rPr>
          <w:rFonts w:hint="default" w:ascii="等线" w:hAnsi="等线" w:eastAsia="等线"/>
          <w:b/>
          <w:sz w:val="22"/>
          <w:szCs w:val="28"/>
          <w:highlight w:val="none"/>
          <w:lang w:val="en-US" w:eastAsia="zh-CN"/>
        </w:rPr>
      </w:pPr>
      <w:r>
        <w:rPr>
          <w:rFonts w:hint="eastAsia" w:ascii="等线" w:hAnsi="等线" w:eastAsia="等线"/>
          <w:b/>
          <w:sz w:val="22"/>
          <w:szCs w:val="28"/>
          <w:highlight w:val="none"/>
          <w:lang w:val="en-US" w:eastAsia="zh-CN"/>
        </w:rPr>
        <w:t>二、采购数量及产品有效期要求</w:t>
      </w:r>
    </w:p>
    <w:tbl>
      <w:tblPr>
        <w:tblStyle w:val="29"/>
        <w:tblW w:w="9932"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5562"/>
        <w:gridCol w:w="2854"/>
      </w:tblGrid>
      <w:tr w14:paraId="34C1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16" w:type="dxa"/>
            <w:vAlign w:val="center"/>
          </w:tcPr>
          <w:p w14:paraId="20825654">
            <w:pPr>
              <w:jc w:val="both"/>
              <w:rPr>
                <w:rFonts w:hint="eastAsia" w:ascii="等线" w:hAnsi="等线" w:eastAsia="等线"/>
                <w:szCs w:val="21"/>
                <w:highlight w:val="none"/>
              </w:rPr>
            </w:pPr>
            <w:r>
              <w:rPr>
                <w:rFonts w:hint="eastAsia" w:ascii="等线" w:hAnsi="等线" w:eastAsia="等线"/>
                <w:szCs w:val="21"/>
                <w:highlight w:val="none"/>
              </w:rPr>
              <w:t>产品名称</w:t>
            </w:r>
          </w:p>
        </w:tc>
        <w:tc>
          <w:tcPr>
            <w:tcW w:w="5562" w:type="dxa"/>
            <w:vAlign w:val="center"/>
          </w:tcPr>
          <w:p w14:paraId="38431F5E">
            <w:pPr>
              <w:jc w:val="both"/>
              <w:rPr>
                <w:rFonts w:hint="default" w:ascii="等线" w:hAnsi="等线" w:eastAsia="等线"/>
                <w:szCs w:val="21"/>
                <w:highlight w:val="none"/>
                <w:lang w:val="en-US" w:eastAsia="zh-CN"/>
              </w:rPr>
            </w:pPr>
            <w:r>
              <w:rPr>
                <w:rFonts w:hint="eastAsia" w:ascii="等线" w:hAnsi="等线" w:eastAsia="等线"/>
                <w:szCs w:val="21"/>
                <w:highlight w:val="none"/>
                <w:lang w:eastAsia="zh-CN"/>
              </w:rPr>
              <w:t>全自动体外除颤仪（AED）（</w:t>
            </w:r>
            <w:r>
              <w:rPr>
                <w:rFonts w:hint="eastAsia" w:ascii="等线" w:hAnsi="等线" w:eastAsia="等线"/>
                <w:szCs w:val="21"/>
                <w:highlight w:val="none"/>
                <w:lang w:val="en-US" w:eastAsia="zh-CN"/>
              </w:rPr>
              <w:t>含电池、电极片）</w:t>
            </w:r>
          </w:p>
        </w:tc>
        <w:tc>
          <w:tcPr>
            <w:tcW w:w="2854" w:type="dxa"/>
            <w:vAlign w:val="center"/>
          </w:tcPr>
          <w:p w14:paraId="5C167761">
            <w:pPr>
              <w:jc w:val="both"/>
              <w:rPr>
                <w:rFonts w:hint="eastAsia" w:ascii="等线" w:hAnsi="等线" w:eastAsia="等线"/>
                <w:szCs w:val="21"/>
                <w:highlight w:val="none"/>
              </w:rPr>
            </w:pPr>
            <w:r>
              <w:rPr>
                <w:rFonts w:hint="eastAsia" w:ascii="等线" w:hAnsi="等线" w:eastAsia="等线"/>
                <w:szCs w:val="21"/>
                <w:highlight w:val="none"/>
              </w:rPr>
              <w:t>AED壁挂箱</w:t>
            </w:r>
          </w:p>
        </w:tc>
      </w:tr>
      <w:tr w14:paraId="423F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14:paraId="23E325D2">
            <w:pPr>
              <w:jc w:val="both"/>
              <w:rPr>
                <w:rFonts w:hint="default" w:ascii="等线" w:hAnsi="等线" w:eastAsia="等线"/>
                <w:szCs w:val="21"/>
                <w:highlight w:val="none"/>
                <w:lang w:val="en-US" w:eastAsia="zh-CN"/>
              </w:rPr>
            </w:pPr>
            <w:r>
              <w:rPr>
                <w:rFonts w:hint="eastAsia" w:ascii="等线" w:hAnsi="等线" w:eastAsia="等线"/>
                <w:szCs w:val="21"/>
                <w:highlight w:val="none"/>
                <w:lang w:val="en-US" w:eastAsia="zh-CN"/>
              </w:rPr>
              <w:t>数量及有效期要求</w:t>
            </w:r>
          </w:p>
        </w:tc>
        <w:tc>
          <w:tcPr>
            <w:tcW w:w="5562" w:type="dxa"/>
            <w:vAlign w:val="center"/>
          </w:tcPr>
          <w:p w14:paraId="027BC285">
            <w:pPr>
              <w:jc w:val="both"/>
              <w:rPr>
                <w:rFonts w:hint="eastAsia" w:ascii="等线" w:hAnsi="等线" w:eastAsia="等线"/>
                <w:szCs w:val="21"/>
                <w:highlight w:val="none"/>
                <w:lang w:val="en-US" w:eastAsia="zh-CN"/>
              </w:rPr>
            </w:pPr>
            <w:r>
              <w:rPr>
                <w:rFonts w:hint="eastAsia" w:ascii="等线" w:hAnsi="等线" w:eastAsia="等线"/>
                <w:szCs w:val="21"/>
                <w:highlight w:val="none"/>
                <w:lang w:val="en-US" w:eastAsia="zh-CN"/>
              </w:rPr>
              <w:t>2台</w:t>
            </w:r>
          </w:p>
          <w:p w14:paraId="304091CB">
            <w:pPr>
              <w:jc w:val="both"/>
              <w:rPr>
                <w:rFonts w:hint="default" w:ascii="等线" w:hAnsi="等线" w:eastAsia="等线"/>
                <w:szCs w:val="21"/>
                <w:highlight w:val="none"/>
                <w:lang w:val="en-US" w:eastAsia="zh-CN"/>
              </w:rPr>
            </w:pPr>
            <w:r>
              <w:rPr>
                <w:rFonts w:hint="eastAsia" w:ascii="等线" w:hAnsi="等线" w:eastAsia="等线"/>
                <w:szCs w:val="21"/>
                <w:highlight w:val="none"/>
              </w:rPr>
              <w:t>有效期10年</w:t>
            </w:r>
            <w:r>
              <w:rPr>
                <w:rFonts w:hint="eastAsia" w:ascii="等线" w:hAnsi="等线" w:eastAsia="等线"/>
                <w:szCs w:val="21"/>
                <w:highlight w:val="none"/>
                <w:lang w:eastAsia="zh-CN"/>
              </w:rPr>
              <w:t>（</w:t>
            </w:r>
            <w:r>
              <w:rPr>
                <w:rFonts w:hint="eastAsia" w:ascii="等线" w:hAnsi="等线" w:eastAsia="等线"/>
                <w:szCs w:val="21"/>
                <w:highlight w:val="none"/>
                <w:lang w:val="en-US" w:eastAsia="zh-CN"/>
              </w:rPr>
              <w:t>电池有效期5年，电极片有效期3年）</w:t>
            </w:r>
          </w:p>
        </w:tc>
        <w:tc>
          <w:tcPr>
            <w:tcW w:w="2854" w:type="dxa"/>
            <w:vAlign w:val="center"/>
          </w:tcPr>
          <w:p w14:paraId="6BB4C886">
            <w:pPr>
              <w:jc w:val="both"/>
              <w:rPr>
                <w:rFonts w:hint="eastAsia" w:ascii="等线" w:hAnsi="等线" w:eastAsia="等线"/>
                <w:szCs w:val="21"/>
                <w:highlight w:val="none"/>
              </w:rPr>
            </w:pPr>
            <w:bookmarkStart w:id="2" w:name="OLE_LINK3"/>
            <w:bookmarkStart w:id="3" w:name="OLE_LINK4"/>
            <w:r>
              <w:rPr>
                <w:rFonts w:hint="eastAsia" w:ascii="等线" w:hAnsi="等线" w:eastAsia="等线"/>
                <w:szCs w:val="21"/>
                <w:highlight w:val="none"/>
                <w:lang w:val="en-US" w:eastAsia="zh-CN"/>
              </w:rPr>
              <w:t>2个</w:t>
            </w:r>
            <w:bookmarkEnd w:id="2"/>
            <w:bookmarkEnd w:id="3"/>
          </w:p>
        </w:tc>
      </w:tr>
    </w:tbl>
    <w:p w14:paraId="16417B32">
      <w:pPr>
        <w:keepNext w:val="0"/>
        <w:keepLines w:val="0"/>
        <w:pageBreakBefore/>
        <w:widowControl w:val="0"/>
        <w:kinsoku/>
        <w:wordWrap/>
        <w:overflowPunct/>
        <w:topLinePunct w:val="0"/>
        <w:autoSpaceDE/>
        <w:autoSpaceDN/>
        <w:bidi w:val="0"/>
        <w:adjustRightInd/>
        <w:snapToGrid/>
        <w:spacing w:before="0" w:beforeLines="400" w:line="5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第</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rPr>
        <w:t>章   响应文件基本格式</w:t>
      </w:r>
    </w:p>
    <w:p w14:paraId="324252E4">
      <w:pPr>
        <w:spacing w:line="500" w:lineRule="exact"/>
        <w:jc w:val="center"/>
        <w:rPr>
          <w:rFonts w:hint="eastAsia" w:ascii="宋体" w:hAnsi="宋体"/>
          <w:color w:val="auto"/>
          <w:sz w:val="28"/>
          <w:szCs w:val="28"/>
          <w:highlight w:val="none"/>
        </w:rPr>
      </w:pPr>
    </w:p>
    <w:p w14:paraId="5877888B">
      <w:pPr>
        <w:spacing w:line="500" w:lineRule="exact"/>
        <w:rPr>
          <w:rFonts w:hint="eastAsia" w:ascii="宋体" w:hAnsi="宋体"/>
          <w:color w:val="auto"/>
          <w:sz w:val="28"/>
          <w:szCs w:val="28"/>
          <w:highlight w:val="none"/>
        </w:rPr>
      </w:pPr>
    </w:p>
    <w:p w14:paraId="37AC5CAE">
      <w:pPr>
        <w:spacing w:line="5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响应文件</w:t>
      </w:r>
      <w:r>
        <w:rPr>
          <w:rFonts w:hint="eastAsia" w:ascii="宋体" w:hAnsi="宋体"/>
          <w:b/>
          <w:color w:val="auto"/>
          <w:sz w:val="24"/>
          <w:highlight w:val="none"/>
        </w:rPr>
        <w:t>（封面）</w:t>
      </w:r>
    </w:p>
    <w:p w14:paraId="5EAF7E91">
      <w:pPr>
        <w:spacing w:line="500" w:lineRule="exact"/>
        <w:jc w:val="center"/>
        <w:rPr>
          <w:rFonts w:hint="eastAsia" w:ascii="宋体" w:hAnsi="宋体"/>
          <w:color w:val="auto"/>
          <w:szCs w:val="21"/>
          <w:highlight w:val="none"/>
        </w:rPr>
      </w:pPr>
    </w:p>
    <w:p w14:paraId="10186871">
      <w:pPr>
        <w:spacing w:line="500" w:lineRule="exact"/>
        <w:jc w:val="center"/>
        <w:rPr>
          <w:rFonts w:hint="eastAsia" w:ascii="宋体" w:hAnsi="宋体"/>
          <w:color w:val="auto"/>
          <w:szCs w:val="21"/>
          <w:highlight w:val="none"/>
        </w:rPr>
      </w:pPr>
    </w:p>
    <w:p w14:paraId="13D129B7">
      <w:pPr>
        <w:spacing w:line="500" w:lineRule="exact"/>
        <w:jc w:val="center"/>
        <w:rPr>
          <w:rFonts w:hint="eastAsia" w:ascii="宋体" w:hAnsi="宋体"/>
          <w:color w:val="auto"/>
          <w:szCs w:val="21"/>
          <w:highlight w:val="none"/>
        </w:rPr>
      </w:pPr>
    </w:p>
    <w:p w14:paraId="5D4D2D2B">
      <w:pPr>
        <w:spacing w:line="500" w:lineRule="exact"/>
        <w:rPr>
          <w:rFonts w:hint="eastAsia" w:ascii="宋体" w:hAnsi="宋体"/>
          <w:color w:val="auto"/>
          <w:szCs w:val="21"/>
          <w:highlight w:val="none"/>
          <w:u w:val="single"/>
        </w:rPr>
      </w:pPr>
    </w:p>
    <w:p w14:paraId="4A570300">
      <w:pPr>
        <w:tabs>
          <w:tab w:val="left" w:pos="3240"/>
        </w:tabs>
        <w:spacing w:line="500" w:lineRule="exact"/>
        <w:ind w:left="1800" w:leftChars="857"/>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p w14:paraId="6FB7336B">
      <w:pPr>
        <w:spacing w:line="500" w:lineRule="exact"/>
        <w:ind w:left="1800" w:leftChars="857"/>
        <w:rPr>
          <w:rFonts w:hint="eastAsia" w:ascii="宋体" w:hAnsi="宋体"/>
          <w:color w:val="auto"/>
          <w:szCs w:val="21"/>
          <w:highlight w:val="none"/>
        </w:rPr>
      </w:pPr>
    </w:p>
    <w:p w14:paraId="779DF0D1">
      <w:pPr>
        <w:spacing w:line="500" w:lineRule="exact"/>
        <w:ind w:left="1800" w:leftChars="857"/>
        <w:rPr>
          <w:rFonts w:hint="eastAsia" w:ascii="宋体" w:hAnsi="宋体"/>
          <w:color w:val="auto"/>
          <w:szCs w:val="21"/>
          <w:highlight w:val="none"/>
          <w:u w:val="singl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4161871E">
      <w:pPr>
        <w:tabs>
          <w:tab w:val="left" w:pos="3240"/>
        </w:tabs>
        <w:spacing w:line="500" w:lineRule="exact"/>
        <w:ind w:left="1800" w:leftChars="857"/>
        <w:rPr>
          <w:rFonts w:hint="eastAsia" w:ascii="宋体" w:hAnsi="宋体"/>
          <w:color w:val="auto"/>
          <w:szCs w:val="21"/>
          <w:highlight w:val="none"/>
          <w:u w:val="single"/>
        </w:rPr>
      </w:pPr>
    </w:p>
    <w:p w14:paraId="57ED2774">
      <w:pPr>
        <w:tabs>
          <w:tab w:val="left" w:pos="2625"/>
        </w:tabs>
        <w:spacing w:line="500" w:lineRule="exact"/>
        <w:ind w:left="1800" w:leftChars="857"/>
        <w:jc w:val="center"/>
        <w:rPr>
          <w:rFonts w:hint="eastAsia" w:ascii="宋体" w:hAnsi="宋体"/>
          <w:color w:val="auto"/>
          <w:szCs w:val="21"/>
          <w:highlight w:val="none"/>
        </w:rPr>
      </w:pPr>
    </w:p>
    <w:p w14:paraId="74E8849A">
      <w:pPr>
        <w:pStyle w:val="26"/>
        <w:rPr>
          <w:rFonts w:hint="eastAsia"/>
          <w:color w:val="auto"/>
          <w:highlight w:val="none"/>
        </w:rPr>
      </w:pPr>
    </w:p>
    <w:p w14:paraId="3A4AA673">
      <w:pPr>
        <w:tabs>
          <w:tab w:val="left" w:pos="2625"/>
        </w:tabs>
        <w:spacing w:line="500" w:lineRule="exact"/>
        <w:jc w:val="center"/>
        <w:rPr>
          <w:rFonts w:hint="eastAsia" w:ascii="宋体" w:hAnsi="宋体"/>
          <w:color w:val="auto"/>
          <w:szCs w:val="21"/>
          <w:highlight w:val="none"/>
        </w:rPr>
      </w:pPr>
    </w:p>
    <w:p w14:paraId="7CF35A90">
      <w:pPr>
        <w:spacing w:line="50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供应商</w:t>
      </w:r>
      <w:r>
        <w:rPr>
          <w:rFonts w:hint="eastAsia" w:ascii="宋体" w:hAnsi="宋体"/>
          <w:color w:val="auto"/>
          <w:szCs w:val="21"/>
          <w:highlight w:val="none"/>
        </w:rPr>
        <w:t>名称）</w:t>
      </w:r>
    </w:p>
    <w:p w14:paraId="6F2FCAB5">
      <w:pPr>
        <w:spacing w:line="500" w:lineRule="exact"/>
        <w:ind w:firstLine="4830" w:firstLineChars="2300"/>
        <w:rPr>
          <w:rFonts w:hint="eastAsia" w:ascii="宋体" w:hAnsi="宋体"/>
          <w:color w:val="auto"/>
          <w:szCs w:val="21"/>
          <w:highlight w:val="none"/>
        </w:rPr>
      </w:pPr>
      <w:r>
        <w:rPr>
          <w:rFonts w:hint="eastAsia" w:ascii="宋体" w:hAnsi="宋体"/>
          <w:color w:val="auto"/>
          <w:szCs w:val="21"/>
          <w:highlight w:val="none"/>
        </w:rPr>
        <w:t>年</w:t>
      </w:r>
      <w:r>
        <w:rPr>
          <w:rFonts w:hint="eastAsia" w:ascii="宋体" w:hAnsi="宋体" w:cs="宋体"/>
          <w:color w:val="auto"/>
          <w:szCs w:val="21"/>
          <w:highlight w:val="none"/>
        </w:rPr>
        <w:t xml:space="preserve">    </w:t>
      </w:r>
      <w:r>
        <w:rPr>
          <w:rFonts w:hint="eastAsia" w:ascii="宋体" w:hAnsi="宋体"/>
          <w:color w:val="auto"/>
          <w:szCs w:val="21"/>
          <w:highlight w:val="none"/>
        </w:rPr>
        <w:t>月    日</w:t>
      </w:r>
    </w:p>
    <w:p w14:paraId="53E149EB">
      <w:pPr>
        <w:spacing w:line="320" w:lineRule="exact"/>
        <w:rPr>
          <w:rFonts w:hint="eastAsia" w:ascii="宋体" w:hAnsi="宋体"/>
          <w:color w:val="auto"/>
          <w:szCs w:val="21"/>
          <w:highlight w:val="none"/>
        </w:rPr>
      </w:pPr>
    </w:p>
    <w:p w14:paraId="1C79A8F4">
      <w:pPr>
        <w:spacing w:line="320" w:lineRule="exact"/>
        <w:rPr>
          <w:rFonts w:hint="eastAsia" w:ascii="宋体" w:hAnsi="宋体"/>
          <w:color w:val="auto"/>
          <w:szCs w:val="21"/>
          <w:highlight w:val="none"/>
        </w:rPr>
      </w:pPr>
    </w:p>
    <w:p w14:paraId="5707028A">
      <w:pPr>
        <w:spacing w:line="320" w:lineRule="exact"/>
        <w:rPr>
          <w:rFonts w:hint="eastAsia" w:ascii="宋体" w:hAnsi="宋体"/>
          <w:color w:val="auto"/>
          <w:szCs w:val="21"/>
          <w:highlight w:val="none"/>
        </w:rPr>
      </w:pPr>
    </w:p>
    <w:p w14:paraId="57839BFA">
      <w:pPr>
        <w:spacing w:line="320" w:lineRule="exact"/>
        <w:rPr>
          <w:rFonts w:hint="eastAsia" w:ascii="宋体" w:hAnsi="宋体"/>
          <w:color w:val="auto"/>
          <w:szCs w:val="21"/>
          <w:highlight w:val="none"/>
        </w:rPr>
      </w:pPr>
    </w:p>
    <w:p w14:paraId="52E4F715">
      <w:pPr>
        <w:spacing w:line="320" w:lineRule="exact"/>
        <w:rPr>
          <w:rFonts w:hint="eastAsia" w:ascii="宋体" w:hAnsi="宋体"/>
          <w:color w:val="auto"/>
          <w:szCs w:val="21"/>
          <w:highlight w:val="none"/>
        </w:rPr>
      </w:pPr>
    </w:p>
    <w:p w14:paraId="47789D70">
      <w:pPr>
        <w:spacing w:line="320" w:lineRule="exact"/>
        <w:rPr>
          <w:rFonts w:hint="eastAsia" w:ascii="宋体" w:hAnsi="宋体"/>
          <w:color w:val="auto"/>
          <w:szCs w:val="21"/>
          <w:highlight w:val="none"/>
        </w:rPr>
      </w:pPr>
    </w:p>
    <w:p w14:paraId="1FA9C403">
      <w:pPr>
        <w:spacing w:line="320" w:lineRule="exact"/>
        <w:rPr>
          <w:rFonts w:hint="eastAsia" w:ascii="宋体" w:hAnsi="宋体"/>
          <w:color w:val="auto"/>
          <w:szCs w:val="21"/>
          <w:highlight w:val="none"/>
        </w:rPr>
      </w:pPr>
    </w:p>
    <w:p w14:paraId="37703A1A">
      <w:pPr>
        <w:pageBreakBefore/>
        <w:spacing w:line="500" w:lineRule="exact"/>
        <w:rPr>
          <w:rFonts w:hint="eastAsia" w:ascii="宋体" w:hAnsi="宋体"/>
          <w:color w:val="auto"/>
          <w:sz w:val="28"/>
          <w:szCs w:val="28"/>
          <w:highlight w:val="none"/>
        </w:rPr>
        <w:sectPr>
          <w:pgSz w:w="11906" w:h="16838"/>
          <w:pgMar w:top="1418" w:right="1286" w:bottom="1418" w:left="1418" w:header="851" w:footer="992" w:gutter="0"/>
          <w:pgNumType w:fmt="decimal"/>
          <w:cols w:space="720" w:num="1"/>
          <w:titlePg/>
        </w:sectPr>
      </w:pPr>
    </w:p>
    <w:p w14:paraId="61A4F83F">
      <w:pPr>
        <w:spacing w:line="420" w:lineRule="exact"/>
        <w:ind w:firstLine="420" w:firstLineChars="200"/>
        <w:rPr>
          <w:rFonts w:hint="eastAsia" w:ascii="宋体" w:hAnsi="宋体" w:eastAsia="宋体"/>
          <w:b w:val="0"/>
          <w:bCs/>
          <w:color w:val="auto"/>
          <w:kern w:val="0"/>
          <w:sz w:val="21"/>
          <w:szCs w:val="21"/>
          <w:highlight w:val="none"/>
          <w:lang w:val="en-US" w:eastAsia="zh-CN"/>
        </w:rPr>
      </w:pPr>
      <w:r>
        <w:rPr>
          <w:rFonts w:hint="eastAsia" w:ascii="宋体" w:hAnsi="宋体"/>
          <w:b w:val="0"/>
          <w:bCs/>
          <w:color w:val="auto"/>
          <w:kern w:val="0"/>
          <w:sz w:val="21"/>
          <w:szCs w:val="21"/>
          <w:highlight w:val="none"/>
          <w:lang w:val="en-US" w:eastAsia="zh-CN"/>
        </w:rPr>
        <w:t>按照下列顺序放置相应文件：</w:t>
      </w:r>
    </w:p>
    <w:p w14:paraId="76D6764F">
      <w:pPr>
        <w:spacing w:line="420" w:lineRule="exact"/>
        <w:ind w:firstLine="420" w:firstLineChars="200"/>
        <w:rPr>
          <w:rFonts w:hint="eastAsia" w:ascii="宋体" w:hAnsi="宋体"/>
          <w:b w:val="0"/>
          <w:bCs/>
          <w:color w:val="auto"/>
          <w:kern w:val="0"/>
          <w:sz w:val="21"/>
          <w:szCs w:val="21"/>
          <w:highlight w:val="none"/>
        </w:rPr>
      </w:pPr>
      <w:r>
        <w:rPr>
          <w:rFonts w:hint="eastAsia" w:ascii="宋体" w:hAnsi="宋体"/>
          <w:b w:val="0"/>
          <w:bCs/>
          <w:color w:val="auto"/>
          <w:kern w:val="0"/>
          <w:sz w:val="21"/>
          <w:szCs w:val="21"/>
          <w:highlight w:val="none"/>
          <w:lang w:val="en-US" w:eastAsia="zh-CN"/>
        </w:rPr>
        <w:t>1、</w:t>
      </w:r>
      <w:r>
        <w:rPr>
          <w:rFonts w:hint="eastAsia" w:ascii="宋体" w:hAnsi="宋体"/>
          <w:b w:val="0"/>
          <w:bCs/>
          <w:color w:val="auto"/>
          <w:kern w:val="0"/>
          <w:sz w:val="21"/>
          <w:szCs w:val="21"/>
          <w:highlight w:val="none"/>
        </w:rPr>
        <w:t>资格性响应证明材料：</w:t>
      </w:r>
    </w:p>
    <w:p w14:paraId="381CF58A">
      <w:pPr>
        <w:pStyle w:val="14"/>
        <w:spacing w:line="420" w:lineRule="exact"/>
        <w:ind w:firstLine="420"/>
        <w:rPr>
          <w:rFonts w:hint="eastAsia"/>
          <w:b w:val="0"/>
          <w:bCs/>
          <w:color w:val="auto"/>
          <w:highlight w:val="none"/>
        </w:rPr>
      </w:pPr>
      <w:r>
        <w:rPr>
          <w:rFonts w:hint="eastAsia"/>
          <w:b w:val="0"/>
          <w:bCs/>
          <w:color w:val="auto"/>
          <w:szCs w:val="21"/>
          <w:highlight w:val="none"/>
          <w:lang w:val="en-US" w:eastAsia="zh-CN"/>
        </w:rPr>
        <w:t>1</w:t>
      </w:r>
      <w:r>
        <w:rPr>
          <w:rFonts w:hint="eastAsia" w:hAnsi="宋体"/>
          <w:b w:val="0"/>
          <w:bCs/>
          <w:color w:val="auto"/>
          <w:szCs w:val="21"/>
          <w:highlight w:val="none"/>
        </w:rPr>
        <w:t>）</w:t>
      </w:r>
      <w:r>
        <w:rPr>
          <w:rFonts w:hint="eastAsia" w:hAnsi="宋体" w:cs="宋体"/>
          <w:b w:val="0"/>
          <w:bCs/>
          <w:color w:val="auto"/>
          <w:szCs w:val="21"/>
          <w:highlight w:val="none"/>
        </w:rPr>
        <w:t>供应商的法人或者其他组织营业执照等证明文件复印件</w:t>
      </w:r>
      <w:r>
        <w:rPr>
          <w:rFonts w:hint="eastAsia"/>
          <w:b w:val="0"/>
          <w:bCs/>
          <w:color w:val="auto"/>
          <w:highlight w:val="none"/>
        </w:rPr>
        <w:t>（必须提供）</w:t>
      </w:r>
    </w:p>
    <w:p w14:paraId="54FD7EA3">
      <w:pPr>
        <w:pStyle w:val="14"/>
        <w:spacing w:line="420" w:lineRule="exact"/>
        <w:ind w:firstLine="420"/>
        <w:rPr>
          <w:rFonts w:hint="eastAsia"/>
          <w:b w:val="0"/>
          <w:bCs/>
          <w:color w:val="auto"/>
          <w:highlight w:val="none"/>
        </w:rPr>
      </w:pPr>
      <w:r>
        <w:rPr>
          <w:rFonts w:hint="eastAsia" w:hAnsi="宋体" w:cs="宋体"/>
          <w:b w:val="0"/>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w:t>
      </w:r>
    </w:p>
    <w:p w14:paraId="08A788D6">
      <w:pPr>
        <w:spacing w:line="42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rPr>
        <w:t>）供应商相应的法定代表人、负责人、自然人身份证正反两面复印件（必须提供）</w:t>
      </w:r>
    </w:p>
    <w:p w14:paraId="2293FFC0">
      <w:pPr>
        <w:pStyle w:val="14"/>
        <w:spacing w:line="420" w:lineRule="exact"/>
        <w:ind w:firstLine="420"/>
        <w:rPr>
          <w:rFonts w:hint="eastAsia" w:hAnsi="宋体" w:cs="宋体"/>
          <w:b w:val="0"/>
          <w:bCs/>
          <w:color w:val="auto"/>
          <w:szCs w:val="21"/>
          <w:highlight w:val="none"/>
        </w:rPr>
      </w:pPr>
      <w:r>
        <w:rPr>
          <w:rFonts w:hint="eastAsia" w:cs="宋体"/>
          <w:b w:val="0"/>
          <w:bCs/>
          <w:color w:val="auto"/>
          <w:szCs w:val="21"/>
          <w:highlight w:val="none"/>
          <w:lang w:val="en-US" w:eastAsia="zh-CN"/>
        </w:rPr>
        <w:t>3</w:t>
      </w:r>
      <w:r>
        <w:rPr>
          <w:rFonts w:hint="eastAsia" w:hAnsi="宋体" w:cs="宋体"/>
          <w:b w:val="0"/>
          <w:bCs/>
          <w:color w:val="auto"/>
          <w:szCs w:val="21"/>
          <w:highlight w:val="none"/>
        </w:rPr>
        <w:t>）法定代表人授权书原件、授权委托人身份证（</w:t>
      </w:r>
      <w:r>
        <w:rPr>
          <w:rFonts w:hint="eastAsia" w:hAnsi="宋体" w:cs="宋体"/>
          <w:b w:val="0"/>
          <w:bCs/>
          <w:color w:val="auto"/>
          <w:szCs w:val="21"/>
          <w:highlight w:val="none"/>
          <w:lang w:eastAsia="zh-CN"/>
        </w:rPr>
        <w:t>见附件</w:t>
      </w:r>
      <w:r>
        <w:rPr>
          <w:rFonts w:hint="eastAsia" w:cs="宋体"/>
          <w:b w:val="0"/>
          <w:bCs/>
          <w:color w:val="auto"/>
          <w:szCs w:val="21"/>
          <w:highlight w:val="none"/>
          <w:lang w:eastAsia="zh-CN"/>
        </w:rPr>
        <w:t>三</w:t>
      </w:r>
      <w:r>
        <w:rPr>
          <w:rFonts w:hint="eastAsia" w:hAnsi="宋体" w:cs="宋体"/>
          <w:b w:val="0"/>
          <w:bCs/>
          <w:color w:val="auto"/>
          <w:szCs w:val="21"/>
          <w:highlight w:val="none"/>
          <w:lang w:val="en-US" w:eastAsia="zh-CN"/>
        </w:rPr>
        <w:t xml:space="preserve"> </w:t>
      </w:r>
      <w:r>
        <w:rPr>
          <w:rFonts w:hint="eastAsia" w:hAnsi="宋体" w:cs="宋体"/>
          <w:b w:val="0"/>
          <w:bCs/>
          <w:color w:val="auto"/>
          <w:szCs w:val="21"/>
          <w:highlight w:val="none"/>
        </w:rPr>
        <w:t>授权委托时必须提供）</w:t>
      </w:r>
    </w:p>
    <w:p w14:paraId="554E1B8B">
      <w:pPr>
        <w:tabs>
          <w:tab w:val="left" w:pos="1305"/>
        </w:tabs>
        <w:spacing w:line="36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4</w:t>
      </w: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证明供应商未被</w:t>
      </w:r>
      <w:r>
        <w:rPr>
          <w:rFonts w:hint="eastAsia" w:ascii="宋体" w:hAnsi="宋体" w:eastAsia="宋体" w:cs="Times New Roman"/>
          <w:b w:val="0"/>
          <w:bCs/>
          <w:color w:val="auto"/>
          <w:szCs w:val="21"/>
          <w:highlight w:val="none"/>
          <w:lang w:val="en-US" w:eastAsia="zh-CN"/>
        </w:rPr>
        <w:t>“信用中国”网站（www.creditchina.gov.cn）等渠道列入失信被执行人、重大税收违法案件当事人名单、政府采购严重违法失信行为记录的</w:t>
      </w:r>
      <w:r>
        <w:rPr>
          <w:rFonts w:hint="eastAsia" w:ascii="宋体" w:hAnsi="宋体"/>
          <w:b w:val="0"/>
          <w:bCs/>
          <w:color w:val="auto"/>
          <w:szCs w:val="21"/>
          <w:highlight w:val="none"/>
        </w:rPr>
        <w:t>复印件（必须提供）</w:t>
      </w:r>
    </w:p>
    <w:p w14:paraId="1DB4B5F9">
      <w:pPr>
        <w:snapToGrid w:val="0"/>
        <w:spacing w:line="360" w:lineRule="exact"/>
        <w:ind w:firstLine="415" w:firstLineChars="198"/>
        <w:jc w:val="left"/>
        <w:rPr>
          <w:rFonts w:hint="eastAsia" w:ascii="宋体" w:hAnsi="宋体" w:eastAsia="宋体" w:cs="Times New Roman"/>
          <w:b w:val="0"/>
          <w:bCs/>
          <w:color w:val="auto"/>
          <w:szCs w:val="21"/>
          <w:highlight w:val="none"/>
          <w:lang w:val="en-US" w:eastAsia="zh-CN"/>
        </w:rPr>
      </w:pPr>
      <w:r>
        <w:rPr>
          <w:rFonts w:hint="eastAsia" w:ascii="宋体" w:hAnsi="宋体"/>
          <w:b w:val="0"/>
          <w:bCs/>
          <w:color w:val="auto"/>
          <w:szCs w:val="21"/>
          <w:highlight w:val="none"/>
          <w:lang w:val="en-US" w:eastAsia="zh-CN"/>
        </w:rPr>
        <w:t>5</w:t>
      </w:r>
      <w:r>
        <w:rPr>
          <w:rFonts w:hint="eastAsia" w:ascii="宋体" w:hAnsi="宋体"/>
          <w:b w:val="0"/>
          <w:bCs/>
          <w:color w:val="auto"/>
          <w:szCs w:val="21"/>
          <w:highlight w:val="none"/>
        </w:rPr>
        <w:t>）投标人参加政府采购活动前3年内在经营活动中没有重大违法记录及有关信用信息的书面声明（</w:t>
      </w:r>
      <w:r>
        <w:rPr>
          <w:rFonts w:hint="eastAsia" w:ascii="宋体" w:hAnsi="宋体"/>
          <w:b w:val="0"/>
          <w:bCs/>
          <w:color w:val="auto"/>
          <w:szCs w:val="21"/>
          <w:highlight w:val="none"/>
          <w:lang w:eastAsia="zh-CN"/>
        </w:rPr>
        <w:t>见附件四</w:t>
      </w:r>
      <w:r>
        <w:rPr>
          <w:rFonts w:hint="eastAsia" w:ascii="宋体" w:hAnsi="宋体"/>
          <w:b w:val="0"/>
          <w:bCs/>
          <w:color w:val="auto"/>
          <w:szCs w:val="21"/>
          <w:highlight w:val="none"/>
          <w:lang w:val="en-US" w:eastAsia="zh-CN"/>
        </w:rPr>
        <w:t xml:space="preserve"> </w:t>
      </w:r>
      <w:r>
        <w:rPr>
          <w:rFonts w:hint="eastAsia" w:ascii="宋体" w:hAnsi="宋体"/>
          <w:b w:val="0"/>
          <w:bCs/>
          <w:color w:val="auto"/>
          <w:szCs w:val="21"/>
          <w:highlight w:val="none"/>
        </w:rPr>
        <w:t>必须提供）</w:t>
      </w:r>
    </w:p>
    <w:p w14:paraId="6A9A0E89">
      <w:pPr>
        <w:spacing w:line="420" w:lineRule="exact"/>
        <w:ind w:firstLine="420" w:firstLineChars="200"/>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lang w:eastAsia="zh-CN"/>
        </w:rPr>
        <w:t xml:space="preserve"> </w:t>
      </w:r>
      <w:r>
        <w:rPr>
          <w:rFonts w:hint="eastAsia" w:ascii="宋体" w:hAnsi="宋体" w:eastAsia="宋体" w:cs="Times New Roman"/>
          <w:b w:val="0"/>
          <w:bCs/>
          <w:color w:val="auto"/>
          <w:szCs w:val="21"/>
          <w:highlight w:val="none"/>
          <w:lang w:val="en-US" w:eastAsia="zh-CN"/>
        </w:rPr>
        <w:t>商务、技术性响应及其他证明材料：</w:t>
      </w:r>
    </w:p>
    <w:p w14:paraId="51787E60">
      <w:pPr>
        <w:spacing w:line="360" w:lineRule="auto"/>
        <w:ind w:firstLine="420" w:firstLineChars="200"/>
        <w:rPr>
          <w:rFonts w:hint="eastAsia" w:ascii="宋体" w:hAnsi="宋体" w:eastAsia="宋体"/>
          <w:b w:val="0"/>
          <w:bCs/>
          <w:color w:val="auto"/>
          <w:szCs w:val="21"/>
          <w:highlight w:val="none"/>
          <w:lang w:eastAsia="zh-CN"/>
        </w:rPr>
      </w:pPr>
      <w:r>
        <w:rPr>
          <w:rFonts w:hint="eastAsia" w:ascii="宋体" w:hAnsi="宋体"/>
          <w:b w:val="0"/>
          <w:bCs/>
          <w:color w:val="auto"/>
          <w:szCs w:val="21"/>
          <w:highlight w:val="none"/>
          <w:lang w:val="en-US" w:eastAsia="zh-CN"/>
        </w:rPr>
        <w:t>1</w:t>
      </w:r>
      <w:r>
        <w:rPr>
          <w:rFonts w:hint="eastAsia" w:ascii="宋体" w:hAnsi="宋体"/>
          <w:b w:val="0"/>
          <w:bCs/>
          <w:color w:val="auto"/>
          <w:szCs w:val="21"/>
          <w:highlight w:val="none"/>
          <w:lang w:eastAsia="zh-CN"/>
        </w:rPr>
        <w:t>）投标</w:t>
      </w:r>
      <w:r>
        <w:rPr>
          <w:rFonts w:hint="eastAsia" w:ascii="宋体" w:hAnsi="宋体"/>
          <w:b w:val="0"/>
          <w:bCs/>
          <w:color w:val="auto"/>
          <w:szCs w:val="21"/>
          <w:highlight w:val="none"/>
        </w:rPr>
        <w:t>报价表</w:t>
      </w:r>
      <w:r>
        <w:rPr>
          <w:rFonts w:hint="eastAsia" w:ascii="宋体" w:hAnsi="宋体"/>
          <w:b w:val="0"/>
          <w:bCs/>
          <w:color w:val="auto"/>
          <w:szCs w:val="21"/>
          <w:highlight w:val="none"/>
          <w:lang w:eastAsia="zh-CN"/>
        </w:rPr>
        <w:t>（见附件一</w:t>
      </w:r>
      <w:r>
        <w:rPr>
          <w:rFonts w:hint="eastAsia" w:ascii="宋体" w:hAnsi="宋体"/>
          <w:b w:val="0"/>
          <w:bCs/>
          <w:color w:val="auto"/>
          <w:szCs w:val="21"/>
          <w:highlight w:val="none"/>
          <w:lang w:val="en-US" w:eastAsia="zh-CN"/>
        </w:rPr>
        <w:t xml:space="preserve"> 必须提供</w:t>
      </w:r>
      <w:r>
        <w:rPr>
          <w:rFonts w:hint="eastAsia" w:ascii="宋体" w:hAnsi="宋体"/>
          <w:b w:val="0"/>
          <w:bCs/>
          <w:color w:val="auto"/>
          <w:szCs w:val="21"/>
          <w:highlight w:val="none"/>
          <w:lang w:eastAsia="zh-CN"/>
        </w:rPr>
        <w:t>）</w:t>
      </w:r>
    </w:p>
    <w:p w14:paraId="62E542C5">
      <w:pPr>
        <w:spacing w:line="360" w:lineRule="auto"/>
        <w:ind w:firstLine="420" w:firstLineChars="200"/>
        <w:rPr>
          <w:rFonts w:hint="eastAsia" w:hAnsi="宋体" w:cs="宋体"/>
          <w:b w:val="0"/>
          <w:bCs/>
          <w:color w:val="auto"/>
          <w:szCs w:val="21"/>
          <w:highlight w:val="none"/>
        </w:rPr>
      </w:pP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技术响应、偏离情况说明表（</w:t>
      </w:r>
      <w:r>
        <w:rPr>
          <w:rFonts w:hint="eastAsia" w:ascii="宋体" w:hAnsi="宋体"/>
          <w:b w:val="0"/>
          <w:bCs/>
          <w:color w:val="auto"/>
          <w:szCs w:val="21"/>
          <w:highlight w:val="none"/>
          <w:lang w:eastAsia="zh-CN"/>
        </w:rPr>
        <w:t>见附件二</w:t>
      </w:r>
      <w:r>
        <w:rPr>
          <w:rFonts w:hint="eastAsia" w:ascii="宋体" w:hAnsi="宋体"/>
          <w:b w:val="0"/>
          <w:bCs/>
          <w:color w:val="auto"/>
          <w:szCs w:val="21"/>
          <w:highlight w:val="none"/>
          <w:lang w:val="en-US" w:eastAsia="zh-CN"/>
        </w:rPr>
        <w:t xml:space="preserve"> </w:t>
      </w:r>
      <w:r>
        <w:rPr>
          <w:rFonts w:hint="eastAsia" w:ascii="宋体" w:hAnsi="宋体"/>
          <w:b w:val="0"/>
          <w:bCs/>
          <w:color w:val="auto"/>
          <w:szCs w:val="21"/>
          <w:highlight w:val="none"/>
        </w:rPr>
        <w:t>必须提供）</w:t>
      </w:r>
    </w:p>
    <w:p w14:paraId="5F6ECE9C">
      <w:pPr>
        <w:pStyle w:val="7"/>
        <w:spacing w:line="360" w:lineRule="auto"/>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3）技术方案</w:t>
      </w:r>
      <w:r>
        <w:rPr>
          <w:rFonts w:hint="eastAsia" w:ascii="宋体" w:hAnsi="宋体"/>
          <w:b w:val="0"/>
          <w:bCs/>
          <w:color w:val="auto"/>
          <w:szCs w:val="21"/>
          <w:highlight w:val="none"/>
        </w:rPr>
        <w:t>（必须提供）</w:t>
      </w:r>
    </w:p>
    <w:p w14:paraId="55B36AAE">
      <w:pPr>
        <w:spacing w:line="360" w:lineRule="auto"/>
        <w:ind w:firstLine="420" w:firstLineChars="200"/>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cs="Times New Roman"/>
          <w:b w:val="0"/>
          <w:bCs/>
          <w:color w:val="auto"/>
          <w:kern w:val="2"/>
          <w:sz w:val="21"/>
          <w:szCs w:val="21"/>
          <w:highlight w:val="none"/>
          <w:lang w:val="en-US" w:eastAsia="zh-CN" w:bidi="ar-SA"/>
        </w:rPr>
        <w:t>4</w:t>
      </w:r>
      <w:r>
        <w:rPr>
          <w:rFonts w:hint="eastAsia" w:ascii="宋体" w:hAnsi="宋体" w:eastAsia="宋体" w:cs="Times New Roman"/>
          <w:b w:val="0"/>
          <w:bCs/>
          <w:color w:val="auto"/>
          <w:kern w:val="2"/>
          <w:sz w:val="21"/>
          <w:szCs w:val="21"/>
          <w:highlight w:val="none"/>
          <w:lang w:val="en-US" w:eastAsia="zh-CN" w:bidi="ar-SA"/>
        </w:rPr>
        <w:t>）</w:t>
      </w:r>
      <w:r>
        <w:rPr>
          <w:rFonts w:hint="eastAsia" w:ascii="宋体" w:hAnsi="宋体" w:cs="Times New Roman"/>
          <w:b w:val="0"/>
          <w:bCs/>
          <w:color w:val="auto"/>
          <w:kern w:val="2"/>
          <w:sz w:val="21"/>
          <w:szCs w:val="21"/>
          <w:highlight w:val="none"/>
          <w:lang w:val="en-US" w:eastAsia="zh-CN" w:bidi="ar-SA"/>
        </w:rPr>
        <w:t>售后服务</w:t>
      </w:r>
      <w:r>
        <w:rPr>
          <w:rFonts w:hint="eastAsia" w:ascii="宋体" w:hAnsi="宋体" w:eastAsia="宋体" w:cs="Times New Roman"/>
          <w:b w:val="0"/>
          <w:bCs/>
          <w:color w:val="auto"/>
          <w:kern w:val="2"/>
          <w:sz w:val="21"/>
          <w:szCs w:val="21"/>
          <w:highlight w:val="none"/>
          <w:lang w:val="en-US" w:eastAsia="zh-CN" w:bidi="ar-SA"/>
        </w:rPr>
        <w:t>（</w:t>
      </w:r>
      <w:r>
        <w:rPr>
          <w:rFonts w:hint="eastAsia" w:ascii="宋体" w:hAnsi="宋体"/>
          <w:b w:val="0"/>
          <w:bCs/>
          <w:color w:val="auto"/>
          <w:szCs w:val="21"/>
          <w:highlight w:val="none"/>
        </w:rPr>
        <w:t>必须提供</w:t>
      </w:r>
      <w:r>
        <w:rPr>
          <w:rFonts w:hint="eastAsia" w:ascii="宋体" w:hAnsi="宋体" w:eastAsia="宋体" w:cs="Times New Roman"/>
          <w:b w:val="0"/>
          <w:bCs/>
          <w:color w:val="auto"/>
          <w:kern w:val="2"/>
          <w:sz w:val="21"/>
          <w:szCs w:val="21"/>
          <w:highlight w:val="none"/>
          <w:lang w:val="en-US" w:eastAsia="zh-CN" w:bidi="ar-SA"/>
        </w:rPr>
        <w:t>）</w:t>
      </w:r>
    </w:p>
    <w:p w14:paraId="16C36570">
      <w:pPr>
        <w:spacing w:line="360" w:lineRule="auto"/>
        <w:ind w:firstLine="420" w:firstLineChars="200"/>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cs="Times New Roman"/>
          <w:b w:val="0"/>
          <w:bCs/>
          <w:color w:val="auto"/>
          <w:kern w:val="2"/>
          <w:sz w:val="21"/>
          <w:szCs w:val="21"/>
          <w:highlight w:val="none"/>
          <w:lang w:val="en-US" w:eastAsia="zh-CN" w:bidi="ar-SA"/>
        </w:rPr>
        <w:t>5）廉政廉洁承诺函</w:t>
      </w:r>
      <w:r>
        <w:rPr>
          <w:rFonts w:hint="eastAsia" w:ascii="宋体" w:hAnsi="宋体" w:eastAsia="宋体" w:cs="Times New Roman"/>
          <w:b w:val="0"/>
          <w:bCs/>
          <w:color w:val="auto"/>
          <w:kern w:val="2"/>
          <w:sz w:val="21"/>
          <w:szCs w:val="21"/>
          <w:highlight w:val="none"/>
          <w:lang w:val="en-US" w:eastAsia="zh-CN" w:bidi="ar-SA"/>
        </w:rPr>
        <w:t>（</w:t>
      </w:r>
      <w:r>
        <w:rPr>
          <w:rFonts w:hint="eastAsia" w:ascii="宋体" w:hAnsi="宋体"/>
          <w:b w:val="0"/>
          <w:bCs/>
          <w:color w:val="auto"/>
          <w:szCs w:val="21"/>
          <w:highlight w:val="none"/>
        </w:rPr>
        <w:t>必须提供</w:t>
      </w:r>
      <w:r>
        <w:rPr>
          <w:rFonts w:hint="eastAsia" w:ascii="宋体" w:hAnsi="宋体" w:eastAsia="宋体" w:cs="Times New Roman"/>
          <w:b w:val="0"/>
          <w:bCs/>
          <w:color w:val="auto"/>
          <w:kern w:val="2"/>
          <w:sz w:val="21"/>
          <w:szCs w:val="21"/>
          <w:highlight w:val="none"/>
          <w:lang w:val="en-US" w:eastAsia="zh-CN" w:bidi="ar-SA"/>
        </w:rPr>
        <w:t>）</w:t>
      </w:r>
    </w:p>
    <w:p w14:paraId="71D450B8">
      <w:pPr>
        <w:keepNext w:val="0"/>
        <w:keepLines w:val="0"/>
        <w:widowControl/>
        <w:suppressLineNumbers w:val="0"/>
        <w:spacing w:line="360" w:lineRule="auto"/>
        <w:ind w:firstLine="420" w:firstLineChars="200"/>
        <w:jc w:val="left"/>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cs="Times New Roman"/>
          <w:b w:val="0"/>
          <w:bCs/>
          <w:color w:val="auto"/>
          <w:kern w:val="2"/>
          <w:sz w:val="21"/>
          <w:szCs w:val="21"/>
          <w:highlight w:val="none"/>
          <w:lang w:val="en-US" w:eastAsia="zh-CN" w:bidi="ar-SA"/>
        </w:rPr>
        <w:t>6</w:t>
      </w:r>
      <w:r>
        <w:rPr>
          <w:rFonts w:hint="eastAsia" w:ascii="宋体" w:hAnsi="宋体" w:eastAsia="宋体" w:cs="Times New Roman"/>
          <w:b w:val="0"/>
          <w:bCs/>
          <w:color w:val="auto"/>
          <w:kern w:val="2"/>
          <w:sz w:val="21"/>
          <w:szCs w:val="21"/>
          <w:highlight w:val="none"/>
          <w:lang w:val="en-US" w:eastAsia="zh-CN" w:bidi="ar-SA"/>
        </w:rPr>
        <w:t>）供应商类似的业绩证明文件（如有，请提供）</w:t>
      </w:r>
    </w:p>
    <w:p w14:paraId="782CE55A">
      <w:pPr>
        <w:spacing w:line="360" w:lineRule="auto"/>
        <w:ind w:firstLine="420" w:firstLineChars="200"/>
        <w:rPr>
          <w:rFonts w:hint="eastAsia" w:ascii="宋体" w:hAnsi="宋体"/>
          <w:b w:val="0"/>
          <w:bCs/>
          <w:color w:val="auto"/>
          <w:sz w:val="28"/>
          <w:szCs w:val="28"/>
          <w:highlight w:val="none"/>
        </w:rPr>
        <w:sectPr>
          <w:footerReference r:id="rId11" w:type="default"/>
          <w:pgSz w:w="11906" w:h="16838"/>
          <w:pgMar w:top="1134" w:right="1418" w:bottom="1418" w:left="1418" w:header="720" w:footer="720" w:gutter="0"/>
          <w:pgNumType w:fmt="decimal"/>
          <w:cols w:space="720" w:num="1"/>
          <w:docGrid w:type="lines" w:linePitch="312" w:charSpace="0"/>
        </w:sectPr>
      </w:pPr>
      <w:r>
        <w:rPr>
          <w:rFonts w:hint="eastAsia" w:ascii="宋体" w:hAnsi="宋体"/>
          <w:b w:val="0"/>
          <w:bCs/>
          <w:color w:val="auto"/>
          <w:highlight w:val="none"/>
          <w:lang w:val="en-US" w:eastAsia="zh-CN"/>
        </w:rPr>
        <w:t>7）</w:t>
      </w:r>
      <w:r>
        <w:rPr>
          <w:rFonts w:hint="eastAsia" w:ascii="宋体" w:hAnsi="宋体"/>
          <w:b w:val="0"/>
          <w:bCs/>
          <w:color w:val="auto"/>
          <w:szCs w:val="21"/>
          <w:highlight w:val="none"/>
          <w:lang w:eastAsia="zh-CN"/>
        </w:rPr>
        <w:t>投标供应商</w:t>
      </w:r>
      <w:r>
        <w:rPr>
          <w:rFonts w:hint="eastAsia" w:ascii="宋体" w:hAnsi="宋体"/>
          <w:b w:val="0"/>
          <w:bCs/>
          <w:color w:val="auto"/>
          <w:szCs w:val="21"/>
          <w:highlight w:val="none"/>
        </w:rPr>
        <w:t>认为需要提供的</w:t>
      </w:r>
      <w:r>
        <w:rPr>
          <w:rFonts w:hint="eastAsia" w:ascii="宋体" w:hAnsi="宋体"/>
          <w:b w:val="0"/>
          <w:bCs/>
          <w:color w:val="auto"/>
          <w:szCs w:val="21"/>
          <w:highlight w:val="none"/>
          <w:lang w:eastAsia="zh-CN"/>
        </w:rPr>
        <w:t>其他</w:t>
      </w:r>
      <w:r>
        <w:rPr>
          <w:rFonts w:hint="eastAsia" w:ascii="宋体" w:hAnsi="宋体"/>
          <w:b w:val="0"/>
          <w:bCs/>
          <w:color w:val="auto"/>
          <w:szCs w:val="21"/>
          <w:highlight w:val="none"/>
        </w:rPr>
        <w:t>有关资料。</w:t>
      </w:r>
    </w:p>
    <w:p w14:paraId="5E3BC08A">
      <w:pPr>
        <w:pageBreakBefore/>
        <w:spacing w:line="50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附件一 </w:t>
      </w:r>
    </w:p>
    <w:p w14:paraId="77C8A477">
      <w:pPr>
        <w:spacing w:line="500" w:lineRule="exact"/>
        <w:jc w:val="center"/>
        <w:rPr>
          <w:rFonts w:hint="eastAsia" w:ascii="宋体" w:hAnsi="宋体"/>
          <w:b/>
          <w:color w:val="auto"/>
          <w:szCs w:val="21"/>
          <w:highlight w:val="none"/>
        </w:rPr>
      </w:pP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报  价  表</w:t>
      </w:r>
    </w:p>
    <w:p w14:paraId="057E6BC5">
      <w:pPr>
        <w:spacing w:line="40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桂林技师学院</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37D8AE3">
      <w:pPr>
        <w:pStyle w:val="14"/>
        <w:spacing w:line="360" w:lineRule="exact"/>
        <w:ind w:firstLine="420"/>
        <w:rPr>
          <w:rFonts w:hint="eastAsia" w:hAnsi="宋体"/>
          <w:color w:val="auto"/>
          <w:highlight w:val="none"/>
        </w:rPr>
      </w:pPr>
      <w:r>
        <w:rPr>
          <w:rFonts w:hint="eastAsia" w:hAnsi="宋体"/>
          <w:color w:val="auto"/>
          <w:highlight w:val="none"/>
        </w:rPr>
        <w:t>根据贵方</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项目文件，项目编号：</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，签字代表</w:t>
      </w:r>
      <w:r>
        <w:rPr>
          <w:rFonts w:hint="eastAsia" w:hAnsi="宋体"/>
          <w:color w:val="auto"/>
          <w:highlight w:val="none"/>
          <w:u w:val="single"/>
        </w:rPr>
        <w:t xml:space="preserve">   （姓名）  </w:t>
      </w:r>
      <w:r>
        <w:rPr>
          <w:rFonts w:hint="eastAsia" w:hAnsi="宋体"/>
          <w:color w:val="auto"/>
          <w:highlight w:val="none"/>
        </w:rPr>
        <w:t xml:space="preserve">经正式授权并代表 </w:t>
      </w:r>
      <w:r>
        <w:rPr>
          <w:rFonts w:hint="eastAsia" w:hAnsi="宋体"/>
          <w:color w:val="auto"/>
          <w:highlight w:val="none"/>
          <w:u w:val="single"/>
        </w:rPr>
        <w:t xml:space="preserve">           </w:t>
      </w:r>
      <w:r>
        <w:rPr>
          <w:rFonts w:hint="eastAsia" w:hAnsi="宋体"/>
          <w:color w:val="auto"/>
          <w:highlight w:val="none"/>
        </w:rPr>
        <w:t>（单位名称），提交</w:t>
      </w:r>
      <w:r>
        <w:rPr>
          <w:rFonts w:hint="eastAsia" w:hAnsi="宋体"/>
          <w:color w:val="auto"/>
          <w:highlight w:val="none"/>
          <w:lang w:eastAsia="zh-CN"/>
        </w:rPr>
        <w:t>响应</w:t>
      </w:r>
      <w:r>
        <w:rPr>
          <w:rFonts w:hint="eastAsia" w:hAnsi="宋体"/>
          <w:color w:val="auto"/>
          <w:highlight w:val="none"/>
        </w:rPr>
        <w:t>文件正本</w:t>
      </w:r>
      <w:r>
        <w:rPr>
          <w:rFonts w:hint="eastAsia"/>
          <w:color w:val="auto"/>
          <w:highlight w:val="none"/>
          <w:lang w:val="en-US" w:eastAsia="zh-CN"/>
        </w:rPr>
        <w:t>壹</w:t>
      </w:r>
      <w:r>
        <w:rPr>
          <w:rFonts w:hint="eastAsia" w:hAnsi="宋体"/>
          <w:color w:val="auto"/>
          <w:highlight w:val="none"/>
        </w:rPr>
        <w:t>份，副本</w:t>
      </w:r>
      <w:r>
        <w:rPr>
          <w:rFonts w:hint="eastAsia"/>
          <w:color w:val="auto"/>
          <w:highlight w:val="none"/>
          <w:u w:val="none"/>
          <w:lang w:val="en-US" w:eastAsia="zh-CN"/>
        </w:rPr>
        <w:t>贰</w:t>
      </w:r>
      <w:r>
        <w:rPr>
          <w:rFonts w:hint="eastAsia" w:hAnsi="宋体"/>
          <w:color w:val="auto"/>
          <w:highlight w:val="none"/>
        </w:rPr>
        <w:t>份，并做出如下报价：</w:t>
      </w:r>
    </w:p>
    <w:p w14:paraId="2CD7C677">
      <w:pPr>
        <w:pStyle w:val="14"/>
        <w:spacing w:line="360" w:lineRule="exact"/>
        <w:ind w:firstLine="420"/>
        <w:rPr>
          <w:rFonts w:hint="eastAsia" w:hAnsi="宋体"/>
          <w:color w:val="auto"/>
          <w:highlight w:val="none"/>
        </w:rPr>
      </w:pPr>
      <w:r>
        <w:rPr>
          <w:rFonts w:hint="eastAsia"/>
          <w:color w:val="auto"/>
          <w:highlight w:val="none"/>
          <w:lang w:val="en-US" w:eastAsia="zh-CN"/>
        </w:rPr>
        <w:t>一、</w:t>
      </w:r>
      <w:r>
        <w:rPr>
          <w:rFonts w:hint="eastAsia" w:hAnsi="宋体"/>
          <w:color w:val="auto"/>
          <w:highlight w:val="none"/>
        </w:rPr>
        <w:t>报价表要求</w:t>
      </w:r>
    </w:p>
    <w:p w14:paraId="2DE2BCDE">
      <w:pPr>
        <w:pStyle w:val="14"/>
        <w:spacing w:line="360" w:lineRule="exact"/>
        <w:ind w:firstLine="420"/>
        <w:rPr>
          <w:rFonts w:hint="eastAsia" w:hAnsi="宋体"/>
          <w:color w:val="auto"/>
          <w:highlight w:val="none"/>
        </w:rPr>
      </w:pPr>
      <w:r>
        <w:rPr>
          <w:rFonts w:hint="eastAsia" w:hAnsi="宋体"/>
          <w:color w:val="auto"/>
          <w:highlight w:val="none"/>
        </w:rPr>
        <w:t>1.  投标人须按本次捆绑采购要求，填写完整报价表，报价需包含</w:t>
      </w:r>
      <w:r>
        <w:rPr>
          <w:rFonts w:hint="eastAsia" w:cs="Times New Roman"/>
          <w:color w:val="auto"/>
          <w:kern w:val="1"/>
          <w:sz w:val="21"/>
          <w:szCs w:val="21"/>
          <w:highlight w:val="none"/>
          <w:lang w:val="en-US" w:eastAsia="zh-CN" w:bidi="ar-SA"/>
        </w:rPr>
        <w:t>全自动体外除颤仪（AED）</w:t>
      </w:r>
      <w:r>
        <w:rPr>
          <w:rFonts w:hint="eastAsia" w:hAnsi="宋体" w:cs="Times New Roman"/>
          <w:color w:val="auto"/>
          <w:kern w:val="1"/>
          <w:sz w:val="21"/>
          <w:szCs w:val="21"/>
          <w:highlight w:val="none"/>
          <w:lang w:val="en-US" w:eastAsia="zh-CN" w:bidi="ar-SA"/>
        </w:rPr>
        <w:t>2台及配套电池、电极片、AED壁挂箱2台</w:t>
      </w:r>
      <w:r>
        <w:rPr>
          <w:rFonts w:hint="eastAsia" w:hAnsi="宋体"/>
          <w:color w:val="auto"/>
          <w:highlight w:val="none"/>
        </w:rPr>
        <w:t>的全部采购费用，以及安装调试、技术培训、售后服务、税费、运输、装卸等所有相关费用，为一次性包干价，招标人不再额外支付任何费用。</w:t>
      </w:r>
    </w:p>
    <w:p w14:paraId="0D3325AC">
      <w:pPr>
        <w:pStyle w:val="14"/>
        <w:spacing w:line="360" w:lineRule="exact"/>
        <w:ind w:firstLine="420"/>
        <w:rPr>
          <w:rFonts w:hint="eastAsia" w:hAnsi="宋体"/>
          <w:color w:val="auto"/>
          <w:highlight w:val="none"/>
        </w:rPr>
      </w:pPr>
      <w:r>
        <w:rPr>
          <w:rFonts w:hint="eastAsia" w:hAnsi="宋体"/>
          <w:color w:val="auto"/>
          <w:highlight w:val="none"/>
        </w:rPr>
        <w:t>2.  报价表需明确各分项产品</w:t>
      </w:r>
      <w:r>
        <w:rPr>
          <w:rFonts w:hint="eastAsia" w:cs="Times New Roman"/>
          <w:color w:val="auto"/>
          <w:kern w:val="1"/>
          <w:sz w:val="21"/>
          <w:szCs w:val="21"/>
          <w:highlight w:val="none"/>
          <w:lang w:val="en-US" w:eastAsia="zh-CN" w:bidi="ar-SA"/>
        </w:rPr>
        <w:t>全自动体外除颤仪（AED）</w:t>
      </w:r>
      <w:r>
        <w:rPr>
          <w:rFonts w:hint="eastAsia" w:hAnsi="宋体" w:cs="Times New Roman"/>
          <w:color w:val="auto"/>
          <w:kern w:val="1"/>
          <w:sz w:val="21"/>
          <w:szCs w:val="21"/>
          <w:highlight w:val="none"/>
          <w:lang w:val="en-US" w:eastAsia="zh-CN" w:bidi="ar-SA"/>
        </w:rPr>
        <w:t>及配套电池、电极片、AED壁挂箱</w:t>
      </w:r>
      <w:r>
        <w:rPr>
          <w:rFonts w:hint="eastAsia" w:hAnsi="宋体"/>
          <w:color w:val="auto"/>
          <w:highlight w:val="none"/>
        </w:rPr>
        <w:t>的单价、数量、总价，以及整体项目总价，单价与总价须核对一致，若出现单价与总价不符，以单价为准（小数点误差除外）。</w:t>
      </w:r>
    </w:p>
    <w:p w14:paraId="0519F810">
      <w:pPr>
        <w:pStyle w:val="14"/>
        <w:spacing w:line="360" w:lineRule="exact"/>
        <w:ind w:firstLine="420"/>
        <w:rPr>
          <w:rFonts w:hint="eastAsia" w:hAnsi="宋体"/>
          <w:color w:val="auto"/>
          <w:highlight w:val="none"/>
        </w:rPr>
      </w:pPr>
      <w:r>
        <w:rPr>
          <w:rFonts w:hint="eastAsia" w:hAnsi="宋体"/>
          <w:color w:val="auto"/>
          <w:highlight w:val="none"/>
        </w:rPr>
        <w:t>3.  报价表需加盖投标人公章，由法定代表人或授权代表签字确认，否则视为无效报价。</w:t>
      </w:r>
    </w:p>
    <w:p w14:paraId="1374524F">
      <w:pPr>
        <w:pStyle w:val="14"/>
        <w:spacing w:line="360" w:lineRule="exact"/>
        <w:ind w:firstLine="420"/>
        <w:rPr>
          <w:rFonts w:hint="eastAsia" w:hAnsi="宋体"/>
          <w:color w:val="auto"/>
          <w:highlight w:val="none"/>
        </w:rPr>
      </w:pPr>
      <w:r>
        <w:rPr>
          <w:rFonts w:hint="eastAsia" w:hAnsi="宋体"/>
          <w:color w:val="auto"/>
          <w:highlight w:val="none"/>
        </w:rPr>
        <w:t>4.  投标人报价一经提交，在投标有效期内不得更改，若中标，报价将作为合同签订的核心依据之一。</w:t>
      </w:r>
    </w:p>
    <w:tbl>
      <w:tblPr>
        <w:tblStyle w:val="29"/>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67"/>
        <w:gridCol w:w="946"/>
        <w:gridCol w:w="1177"/>
        <w:gridCol w:w="1177"/>
        <w:gridCol w:w="1177"/>
        <w:gridCol w:w="1177"/>
        <w:gridCol w:w="1177"/>
      </w:tblGrid>
      <w:tr w14:paraId="73B6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10225D1">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hAnsi="宋体"/>
                <w:color w:val="auto"/>
                <w:highlight w:val="none"/>
                <w:vertAlign w:val="baseli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967" w:type="dxa"/>
            <w:vAlign w:val="center"/>
          </w:tcPr>
          <w:p w14:paraId="627609E7">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hAnsi="宋体"/>
                <w:color w:val="auto"/>
                <w:highlight w:val="none"/>
                <w:vertAlign w:val="baseline"/>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946" w:type="dxa"/>
            <w:vAlign w:val="center"/>
          </w:tcPr>
          <w:p w14:paraId="55E970C7">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hAnsi="宋体"/>
                <w:color w:val="auto"/>
                <w:highlight w:val="none"/>
                <w:vertAlign w:val="baseline"/>
              </w:rPr>
            </w:pPr>
            <w:r>
              <w:rPr>
                <w:rFonts w:hint="eastAsia" w:ascii="宋体" w:hAnsi="宋体" w:eastAsia="宋体" w:cs="宋体"/>
                <w:b/>
                <w:bCs/>
                <w:i w:val="0"/>
                <w:iCs w:val="0"/>
                <w:color w:val="auto"/>
                <w:kern w:val="0"/>
                <w:sz w:val="22"/>
                <w:szCs w:val="22"/>
                <w:highlight w:val="none"/>
                <w:u w:val="none"/>
                <w:lang w:val="en-US" w:eastAsia="zh-CN" w:bidi="ar"/>
              </w:rPr>
              <w:t>说明</w:t>
            </w:r>
          </w:p>
        </w:tc>
        <w:tc>
          <w:tcPr>
            <w:tcW w:w="1177" w:type="dxa"/>
            <w:vAlign w:val="center"/>
          </w:tcPr>
          <w:p w14:paraId="19D4C131">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hAnsi="宋体"/>
                <w:color w:val="auto"/>
                <w:highlight w:val="none"/>
                <w:vertAlign w:val="baseline"/>
              </w:rPr>
            </w:pPr>
            <w:r>
              <w:rPr>
                <w:rFonts w:hint="eastAsia" w:ascii="宋体" w:hAnsi="宋体" w:eastAsia="宋体" w:cs="宋体"/>
                <w:b/>
                <w:bCs/>
                <w:i w:val="0"/>
                <w:iCs w:val="0"/>
                <w:color w:val="auto"/>
                <w:kern w:val="0"/>
                <w:sz w:val="22"/>
                <w:szCs w:val="22"/>
                <w:highlight w:val="none"/>
                <w:u w:val="none"/>
                <w:lang w:val="en-US" w:eastAsia="zh-CN" w:bidi="ar"/>
              </w:rPr>
              <w:t>图片</w:t>
            </w:r>
          </w:p>
        </w:tc>
        <w:tc>
          <w:tcPr>
            <w:tcW w:w="1177" w:type="dxa"/>
            <w:vAlign w:val="center"/>
          </w:tcPr>
          <w:p w14:paraId="4B0A8622">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hAnsi="宋体"/>
                <w:color w:val="auto"/>
                <w:highlight w:val="none"/>
                <w:vertAlign w:val="baseli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1177" w:type="dxa"/>
            <w:vAlign w:val="center"/>
          </w:tcPr>
          <w:p w14:paraId="3ECE6129">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hAnsi="宋体"/>
                <w:color w:val="auto"/>
                <w:highlight w:val="none"/>
                <w:vertAlign w:val="baseli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177" w:type="dxa"/>
            <w:vAlign w:val="center"/>
          </w:tcPr>
          <w:p w14:paraId="3CCB59B5">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1177" w:type="dxa"/>
            <w:vAlign w:val="center"/>
          </w:tcPr>
          <w:p w14:paraId="782C6567">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79E1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trPr>
        <w:tc>
          <w:tcPr>
            <w:tcW w:w="743" w:type="dxa"/>
            <w:vAlign w:val="center"/>
          </w:tcPr>
          <w:p w14:paraId="33F03513">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hAnsi="宋体"/>
                <w:b w:val="0"/>
                <w:bCs w:val="0"/>
                <w:color w:val="auto"/>
                <w:highlight w:val="none"/>
                <w:vertAlign w:val="baseli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1967" w:type="dxa"/>
            <w:vAlign w:val="center"/>
          </w:tcPr>
          <w:p w14:paraId="7BF9BC28">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default" w:hAnsi="宋体"/>
                <w:b w:val="0"/>
                <w:bCs w:val="0"/>
                <w:color w:val="auto"/>
                <w:highlight w:val="none"/>
                <w:vertAlign w:val="baseline"/>
                <w:lang w:val="en-US"/>
              </w:rPr>
            </w:pPr>
            <w:r>
              <w:rPr>
                <w:rFonts w:hint="eastAsia" w:hAnsi="宋体" w:cs="Times New Roman"/>
                <w:color w:val="auto"/>
                <w:kern w:val="1"/>
                <w:sz w:val="21"/>
                <w:szCs w:val="21"/>
                <w:highlight w:val="none"/>
                <w:lang w:val="en-US" w:eastAsia="zh-CN" w:bidi="ar-SA"/>
              </w:rPr>
              <w:t>全自动体外除颤仪（AED）（含配套电池、电极片</w:t>
            </w:r>
          </w:p>
        </w:tc>
        <w:tc>
          <w:tcPr>
            <w:tcW w:w="946" w:type="dxa"/>
            <w:vAlign w:val="center"/>
          </w:tcPr>
          <w:p w14:paraId="702C660D">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hAnsi="宋体"/>
                <w:b w:val="0"/>
                <w:bCs w:val="0"/>
                <w:color w:val="auto"/>
                <w:highlight w:val="none"/>
                <w:vertAlign w:val="baseline"/>
              </w:rPr>
            </w:pPr>
          </w:p>
        </w:tc>
        <w:tc>
          <w:tcPr>
            <w:tcW w:w="1177" w:type="dxa"/>
            <w:vAlign w:val="center"/>
          </w:tcPr>
          <w:p w14:paraId="1DC0153A">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hAnsi="宋体"/>
                <w:b w:val="0"/>
                <w:bCs w:val="0"/>
                <w:color w:val="auto"/>
                <w:highlight w:val="none"/>
                <w:vertAlign w:val="baseline"/>
              </w:rPr>
            </w:pPr>
          </w:p>
        </w:tc>
        <w:tc>
          <w:tcPr>
            <w:tcW w:w="1177" w:type="dxa"/>
            <w:vAlign w:val="center"/>
          </w:tcPr>
          <w:p w14:paraId="79FE5258">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hAnsi="宋体" w:eastAsia="宋体"/>
                <w:b w:val="0"/>
                <w:bCs w:val="0"/>
                <w:color w:val="auto"/>
                <w:highlight w:val="none"/>
                <w:vertAlign w:val="baseline"/>
                <w:lang w:val="en-US" w:eastAsia="zh-CN"/>
              </w:rPr>
            </w:pPr>
          </w:p>
        </w:tc>
        <w:tc>
          <w:tcPr>
            <w:tcW w:w="1177" w:type="dxa"/>
            <w:vAlign w:val="center"/>
          </w:tcPr>
          <w:p w14:paraId="7B29B675">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hAnsi="宋体" w:eastAsia="宋体"/>
                <w:b w:val="0"/>
                <w:bCs w:val="0"/>
                <w:color w:val="auto"/>
                <w:highlight w:val="none"/>
                <w:vertAlign w:val="baseline"/>
                <w:lang w:val="en-US" w:eastAsia="zh-CN"/>
              </w:rPr>
            </w:pPr>
          </w:p>
        </w:tc>
        <w:tc>
          <w:tcPr>
            <w:tcW w:w="1177" w:type="dxa"/>
            <w:vAlign w:val="center"/>
          </w:tcPr>
          <w:p w14:paraId="2F3274B3">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1177" w:type="dxa"/>
            <w:vAlign w:val="center"/>
          </w:tcPr>
          <w:p w14:paraId="2C9D4671">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r>
      <w:tr w14:paraId="07B9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3" w:type="dxa"/>
            <w:vAlign w:val="center"/>
          </w:tcPr>
          <w:p w14:paraId="11616933">
            <w:pPr>
              <w:pStyle w:val="14"/>
              <w:keepNext w:val="0"/>
              <w:keepLines w:val="0"/>
              <w:pageBreakBefore w:val="0"/>
              <w:kinsoku/>
              <w:wordWrap/>
              <w:overflowPunct/>
              <w:topLinePunct w:val="0"/>
              <w:bidi w:val="0"/>
              <w:adjustRightInd/>
              <w:snapToGrid/>
              <w:spacing w:line="300" w:lineRule="exact"/>
              <w:jc w:val="center"/>
              <w:rPr>
                <w:rFonts w:hint="eastAsia" w:hAnsi="宋体" w:eastAsia="宋体"/>
                <w:b w:val="0"/>
                <w:bCs w:val="0"/>
                <w:color w:val="auto"/>
                <w:highlight w:val="none"/>
                <w:vertAlign w:val="baseline"/>
                <w:lang w:val="en-US" w:eastAsia="zh-CN"/>
              </w:rPr>
            </w:pPr>
            <w:r>
              <w:rPr>
                <w:rFonts w:hint="eastAsia"/>
                <w:b w:val="0"/>
                <w:bCs w:val="0"/>
                <w:color w:val="auto"/>
                <w:highlight w:val="none"/>
                <w:vertAlign w:val="baseline"/>
                <w:lang w:val="en-US" w:eastAsia="zh-CN"/>
              </w:rPr>
              <w:t>2</w:t>
            </w:r>
          </w:p>
        </w:tc>
        <w:tc>
          <w:tcPr>
            <w:tcW w:w="1967" w:type="dxa"/>
            <w:vAlign w:val="center"/>
          </w:tcPr>
          <w:p w14:paraId="70795984">
            <w:pPr>
              <w:pStyle w:val="37"/>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firstLine="0" w:firstLineChars="0"/>
              <w:jc w:val="center"/>
              <w:textAlignment w:val="auto"/>
              <w:rPr>
                <w:rFonts w:hint="eastAsia" w:hAnsi="宋体"/>
                <w:b w:val="0"/>
                <w:bCs w:val="0"/>
                <w:color w:val="auto"/>
                <w:highlight w:val="none"/>
                <w:vertAlign w:val="baseline"/>
              </w:rPr>
            </w:pPr>
            <w:r>
              <w:rPr>
                <w:rFonts w:hint="eastAsia" w:hAnsi="宋体" w:cs="Times New Roman"/>
                <w:color w:val="auto"/>
                <w:kern w:val="1"/>
                <w:sz w:val="21"/>
                <w:szCs w:val="21"/>
                <w:highlight w:val="none"/>
                <w:lang w:val="en-US" w:eastAsia="zh-CN" w:bidi="ar-SA"/>
              </w:rPr>
              <w:t>AED壁挂箱</w:t>
            </w:r>
          </w:p>
        </w:tc>
        <w:tc>
          <w:tcPr>
            <w:tcW w:w="946" w:type="dxa"/>
            <w:vAlign w:val="center"/>
          </w:tcPr>
          <w:p w14:paraId="7EAAE55C">
            <w:pPr>
              <w:pStyle w:val="14"/>
              <w:keepNext w:val="0"/>
              <w:keepLines w:val="0"/>
              <w:pageBreakBefore w:val="0"/>
              <w:kinsoku/>
              <w:wordWrap/>
              <w:overflowPunct/>
              <w:topLinePunct w:val="0"/>
              <w:bidi w:val="0"/>
              <w:adjustRightInd/>
              <w:snapToGrid/>
              <w:spacing w:line="300" w:lineRule="exact"/>
              <w:jc w:val="center"/>
              <w:rPr>
                <w:rFonts w:hint="eastAsia" w:hAnsi="宋体"/>
                <w:b w:val="0"/>
                <w:bCs w:val="0"/>
                <w:color w:val="auto"/>
                <w:highlight w:val="none"/>
                <w:vertAlign w:val="baseline"/>
              </w:rPr>
            </w:pPr>
          </w:p>
        </w:tc>
        <w:tc>
          <w:tcPr>
            <w:tcW w:w="1177" w:type="dxa"/>
            <w:vAlign w:val="center"/>
          </w:tcPr>
          <w:p w14:paraId="2D21E2B1">
            <w:pPr>
              <w:pStyle w:val="14"/>
              <w:keepNext w:val="0"/>
              <w:keepLines w:val="0"/>
              <w:pageBreakBefore w:val="0"/>
              <w:kinsoku/>
              <w:wordWrap/>
              <w:overflowPunct/>
              <w:topLinePunct w:val="0"/>
              <w:bidi w:val="0"/>
              <w:adjustRightInd/>
              <w:snapToGrid/>
              <w:spacing w:line="300" w:lineRule="exact"/>
              <w:jc w:val="center"/>
              <w:rPr>
                <w:rFonts w:hint="eastAsia" w:hAnsi="宋体"/>
                <w:b w:val="0"/>
                <w:bCs w:val="0"/>
                <w:color w:val="auto"/>
                <w:highlight w:val="none"/>
                <w:vertAlign w:val="baseline"/>
              </w:rPr>
            </w:pPr>
          </w:p>
        </w:tc>
        <w:tc>
          <w:tcPr>
            <w:tcW w:w="1177" w:type="dxa"/>
            <w:vAlign w:val="center"/>
          </w:tcPr>
          <w:p w14:paraId="6BC888AA">
            <w:pPr>
              <w:pStyle w:val="14"/>
              <w:keepNext w:val="0"/>
              <w:keepLines w:val="0"/>
              <w:pageBreakBefore w:val="0"/>
              <w:kinsoku/>
              <w:wordWrap/>
              <w:overflowPunct/>
              <w:topLinePunct w:val="0"/>
              <w:bidi w:val="0"/>
              <w:adjustRightInd/>
              <w:snapToGrid/>
              <w:spacing w:line="300" w:lineRule="exact"/>
              <w:jc w:val="center"/>
              <w:rPr>
                <w:rFonts w:hint="eastAsia" w:hAnsi="宋体" w:eastAsia="宋体"/>
                <w:b w:val="0"/>
                <w:bCs w:val="0"/>
                <w:color w:val="auto"/>
                <w:highlight w:val="none"/>
                <w:vertAlign w:val="baseline"/>
                <w:lang w:val="en-US" w:eastAsia="zh-CN"/>
              </w:rPr>
            </w:pPr>
          </w:p>
        </w:tc>
        <w:tc>
          <w:tcPr>
            <w:tcW w:w="1177" w:type="dxa"/>
            <w:vAlign w:val="center"/>
          </w:tcPr>
          <w:p w14:paraId="0AE6FE2A">
            <w:pPr>
              <w:pStyle w:val="14"/>
              <w:keepNext w:val="0"/>
              <w:keepLines w:val="0"/>
              <w:pageBreakBefore w:val="0"/>
              <w:kinsoku/>
              <w:wordWrap/>
              <w:overflowPunct/>
              <w:topLinePunct w:val="0"/>
              <w:bidi w:val="0"/>
              <w:adjustRightInd/>
              <w:snapToGrid/>
              <w:spacing w:line="300" w:lineRule="exact"/>
              <w:jc w:val="center"/>
              <w:rPr>
                <w:rFonts w:hint="eastAsia" w:hAnsi="宋体"/>
                <w:b w:val="0"/>
                <w:bCs w:val="0"/>
                <w:color w:val="auto"/>
                <w:highlight w:val="none"/>
                <w:vertAlign w:val="baseline"/>
              </w:rPr>
            </w:pPr>
          </w:p>
        </w:tc>
        <w:tc>
          <w:tcPr>
            <w:tcW w:w="1177" w:type="dxa"/>
            <w:vAlign w:val="center"/>
          </w:tcPr>
          <w:p w14:paraId="6A463356">
            <w:pPr>
              <w:pStyle w:val="14"/>
              <w:keepNext w:val="0"/>
              <w:keepLines w:val="0"/>
              <w:pageBreakBefore w:val="0"/>
              <w:kinsoku/>
              <w:wordWrap/>
              <w:overflowPunct/>
              <w:topLinePunct w:val="0"/>
              <w:bidi w:val="0"/>
              <w:adjustRightInd/>
              <w:snapToGrid/>
              <w:spacing w:line="300" w:lineRule="exact"/>
              <w:jc w:val="center"/>
              <w:rPr>
                <w:rFonts w:hint="eastAsia" w:hAnsi="宋体"/>
                <w:b w:val="0"/>
                <w:bCs w:val="0"/>
                <w:color w:val="auto"/>
                <w:highlight w:val="none"/>
                <w:vertAlign w:val="baseline"/>
              </w:rPr>
            </w:pPr>
          </w:p>
        </w:tc>
        <w:tc>
          <w:tcPr>
            <w:tcW w:w="1177" w:type="dxa"/>
            <w:vAlign w:val="center"/>
          </w:tcPr>
          <w:p w14:paraId="143CA411">
            <w:pPr>
              <w:pStyle w:val="14"/>
              <w:keepNext w:val="0"/>
              <w:keepLines w:val="0"/>
              <w:pageBreakBefore w:val="0"/>
              <w:kinsoku/>
              <w:wordWrap/>
              <w:overflowPunct/>
              <w:topLinePunct w:val="0"/>
              <w:bidi w:val="0"/>
              <w:adjustRightInd/>
              <w:snapToGrid/>
              <w:spacing w:line="300" w:lineRule="exact"/>
              <w:jc w:val="center"/>
              <w:rPr>
                <w:rFonts w:hint="eastAsia" w:hAnsi="宋体"/>
                <w:b w:val="0"/>
                <w:bCs w:val="0"/>
                <w:color w:val="auto"/>
                <w:highlight w:val="none"/>
                <w:vertAlign w:val="baseline"/>
              </w:rPr>
            </w:pPr>
          </w:p>
        </w:tc>
      </w:tr>
    </w:tbl>
    <w:p w14:paraId="4D01A424">
      <w:pPr>
        <w:pStyle w:val="14"/>
        <w:spacing w:line="360" w:lineRule="exact"/>
        <w:ind w:firstLine="420"/>
        <w:rPr>
          <w:rFonts w:hint="eastAsia" w:hAnsi="宋体"/>
          <w:color w:val="auto"/>
          <w:highlight w:val="none"/>
        </w:rPr>
      </w:pPr>
    </w:p>
    <w:p w14:paraId="070A8624">
      <w:pPr>
        <w:pStyle w:val="14"/>
        <w:spacing w:line="440" w:lineRule="exact"/>
        <w:ind w:firstLine="420" w:firstLineChars="200"/>
        <w:rPr>
          <w:rFonts w:hAnsi="宋体"/>
          <w:color w:val="auto"/>
          <w:highlight w:val="none"/>
        </w:rPr>
      </w:pPr>
      <w:r>
        <w:rPr>
          <w:rFonts w:hint="eastAsia"/>
          <w:color w:val="auto"/>
          <w:highlight w:val="none"/>
          <w:lang w:val="en-US" w:eastAsia="zh-CN"/>
        </w:rPr>
        <w:t>二、</w:t>
      </w:r>
      <w:r>
        <w:rPr>
          <w:rFonts w:hint="eastAsia"/>
          <w:color w:val="auto"/>
          <w:highlight w:val="none"/>
          <w:lang w:eastAsia="zh-CN"/>
        </w:rPr>
        <w:t>投标人</w:t>
      </w:r>
      <w:r>
        <w:rPr>
          <w:rFonts w:hint="eastAsia" w:hAnsi="宋体"/>
          <w:color w:val="auto"/>
          <w:highlight w:val="none"/>
        </w:rPr>
        <w:t>通讯地址为：</w:t>
      </w:r>
    </w:p>
    <w:p w14:paraId="653BB8AC">
      <w:pPr>
        <w:pStyle w:val="14"/>
        <w:spacing w:line="440" w:lineRule="exact"/>
        <w:ind w:firstLine="420"/>
        <w:rPr>
          <w:rFonts w:hAnsi="宋体"/>
          <w:color w:val="auto"/>
          <w:highlight w:val="none"/>
          <w:u w:val="single"/>
        </w:rPr>
      </w:pPr>
      <w:r>
        <w:rPr>
          <w:rFonts w:hint="eastAsia" w:hAnsi="宋体"/>
          <w:color w:val="auto"/>
          <w:highlight w:val="none"/>
        </w:rPr>
        <w:t>地址：</w:t>
      </w:r>
      <w:r>
        <w:rPr>
          <w:rFonts w:hint="eastAsia" w:hAnsi="宋体"/>
          <w:color w:val="auto"/>
          <w:highlight w:val="none"/>
          <w:u w:val="single"/>
        </w:rPr>
        <w:t xml:space="preserve">                                   </w:t>
      </w:r>
      <w:r>
        <w:rPr>
          <w:rFonts w:hint="eastAsia" w:hAnsi="宋体"/>
          <w:color w:val="auto"/>
          <w:highlight w:val="none"/>
        </w:rPr>
        <w:t xml:space="preserve"> 邮编：</w:t>
      </w:r>
      <w:r>
        <w:rPr>
          <w:rFonts w:hint="eastAsia" w:hAnsi="宋体"/>
          <w:color w:val="auto"/>
          <w:highlight w:val="none"/>
          <w:u w:val="single"/>
        </w:rPr>
        <w:t xml:space="preserve">          </w:t>
      </w:r>
      <w:r>
        <w:rPr>
          <w:rFonts w:hint="eastAsia" w:hAnsi="宋体"/>
          <w:color w:val="auto"/>
          <w:highlight w:val="none"/>
        </w:rPr>
        <w:t xml:space="preserve">  电话、传真：</w:t>
      </w:r>
      <w:r>
        <w:rPr>
          <w:rFonts w:hint="eastAsia" w:hAnsi="宋体"/>
          <w:color w:val="auto"/>
          <w:highlight w:val="none"/>
          <w:u w:val="single"/>
        </w:rPr>
        <w:t xml:space="preserve">            </w:t>
      </w:r>
    </w:p>
    <w:p w14:paraId="6EF19426">
      <w:pPr>
        <w:pStyle w:val="14"/>
        <w:spacing w:line="440" w:lineRule="exact"/>
        <w:ind w:firstLine="420"/>
        <w:rPr>
          <w:rFonts w:hAnsi="宋体"/>
          <w:color w:val="auto"/>
          <w:highlight w:val="none"/>
        </w:rPr>
      </w:pPr>
      <w:r>
        <w:rPr>
          <w:rFonts w:hint="eastAsia" w:hAnsi="宋体"/>
          <w:color w:val="auto"/>
          <w:highlight w:val="none"/>
        </w:rPr>
        <w:t>开户名称：</w:t>
      </w:r>
      <w:r>
        <w:rPr>
          <w:rFonts w:hint="eastAsia" w:hAnsi="宋体"/>
          <w:color w:val="auto"/>
          <w:highlight w:val="none"/>
          <w:u w:val="single"/>
        </w:rPr>
        <w:t xml:space="preserve">                                        </w:t>
      </w:r>
    </w:p>
    <w:p w14:paraId="7B2983CE">
      <w:pPr>
        <w:pStyle w:val="14"/>
        <w:spacing w:line="440" w:lineRule="exact"/>
        <w:ind w:firstLine="420"/>
        <w:rPr>
          <w:rFonts w:hAnsi="宋体"/>
          <w:color w:val="auto"/>
          <w:highlight w:val="none"/>
        </w:rPr>
      </w:pPr>
      <w:r>
        <w:rPr>
          <w:rFonts w:hint="eastAsia" w:hAnsi="宋体"/>
          <w:color w:val="auto"/>
          <w:highlight w:val="none"/>
        </w:rPr>
        <w:t>开户银行：</w:t>
      </w:r>
      <w:r>
        <w:rPr>
          <w:rFonts w:hint="eastAsia" w:hAnsi="宋体"/>
          <w:color w:val="auto"/>
          <w:highlight w:val="none"/>
          <w:u w:val="single"/>
        </w:rPr>
        <w:t xml:space="preserve">                               　       </w:t>
      </w:r>
    </w:p>
    <w:p w14:paraId="73923A6B">
      <w:pPr>
        <w:pStyle w:val="14"/>
        <w:spacing w:line="440" w:lineRule="exact"/>
        <w:ind w:firstLine="420"/>
        <w:rPr>
          <w:rFonts w:hAnsi="宋体"/>
          <w:color w:val="auto"/>
          <w:highlight w:val="none"/>
        </w:rPr>
      </w:pPr>
      <w:r>
        <w:rPr>
          <w:rFonts w:hint="eastAsia" w:hAnsi="宋体"/>
          <w:color w:val="auto"/>
          <w:highlight w:val="none"/>
        </w:rPr>
        <w:t>账号：</w:t>
      </w:r>
      <w:r>
        <w:rPr>
          <w:rFonts w:hint="eastAsia" w:hAnsi="宋体"/>
          <w:color w:val="auto"/>
          <w:highlight w:val="none"/>
          <w:u w:val="single"/>
        </w:rPr>
        <w:t xml:space="preserve">                                   　　　   </w:t>
      </w:r>
    </w:p>
    <w:p w14:paraId="55FCD9D6">
      <w:pPr>
        <w:pStyle w:val="14"/>
        <w:spacing w:line="440" w:lineRule="exact"/>
        <w:ind w:firstLine="420"/>
        <w:rPr>
          <w:rFonts w:hAnsi="宋体"/>
          <w:color w:val="auto"/>
          <w:highlight w:val="none"/>
        </w:rPr>
      </w:pPr>
      <w:r>
        <w:rPr>
          <w:rFonts w:hint="eastAsia"/>
          <w:color w:val="auto"/>
          <w:highlight w:val="none"/>
          <w:lang w:val="en-US" w:eastAsia="zh-CN"/>
        </w:rPr>
        <w:t>投标人</w:t>
      </w:r>
      <w:r>
        <w:rPr>
          <w:rFonts w:hint="eastAsia" w:hAnsi="宋体"/>
          <w:color w:val="auto"/>
          <w:highlight w:val="none"/>
        </w:rPr>
        <w:t>（公章）：</w:t>
      </w:r>
      <w:r>
        <w:rPr>
          <w:rFonts w:hint="eastAsia" w:hAnsi="宋体"/>
          <w:color w:val="auto"/>
          <w:highlight w:val="none"/>
          <w:u w:val="single"/>
        </w:rPr>
        <w:t xml:space="preserve">                          </w:t>
      </w:r>
    </w:p>
    <w:p w14:paraId="7B10044E">
      <w:pPr>
        <w:pStyle w:val="14"/>
        <w:spacing w:line="440" w:lineRule="exact"/>
        <w:ind w:firstLine="420"/>
        <w:rPr>
          <w:rFonts w:hAnsi="宋体"/>
          <w:color w:val="auto"/>
          <w:highlight w:val="none"/>
          <w:u w:val="single"/>
        </w:rPr>
      </w:pPr>
      <w:r>
        <w:rPr>
          <w:rFonts w:hint="eastAsia" w:hAnsi="宋体"/>
          <w:color w:val="auto"/>
          <w:highlight w:val="none"/>
        </w:rPr>
        <w:t>法定代表人或相应的委托代理人签字（或盖章）：</w:t>
      </w:r>
      <w:r>
        <w:rPr>
          <w:rFonts w:hint="eastAsia" w:hAnsi="宋体"/>
          <w:color w:val="auto"/>
          <w:highlight w:val="none"/>
          <w:u w:val="single"/>
        </w:rPr>
        <w:t xml:space="preserve">              </w:t>
      </w:r>
    </w:p>
    <w:p w14:paraId="7443B641">
      <w:pPr>
        <w:pStyle w:val="14"/>
        <w:spacing w:line="440" w:lineRule="exact"/>
        <w:ind w:firstLine="42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p>
    <w:p w14:paraId="58047FCC">
      <w:pPr>
        <w:tabs>
          <w:tab w:val="left" w:pos="1305"/>
        </w:tabs>
        <w:spacing w:line="320" w:lineRule="exact"/>
        <w:ind w:firstLine="205" w:firstLineChars="98"/>
        <w:rPr>
          <w:rFonts w:ascii="宋体" w:hAnsi="宋体"/>
          <w:color w:val="auto"/>
          <w:highlight w:val="none"/>
        </w:rPr>
      </w:pPr>
      <w:r>
        <w:rPr>
          <w:rFonts w:hint="eastAsia" w:ascii="宋体" w:hAnsi="宋体"/>
          <w:bCs/>
          <w:color w:val="auto"/>
          <w:szCs w:val="21"/>
          <w:highlight w:val="none"/>
        </w:rPr>
        <w:t>注：</w:t>
      </w:r>
      <w:r>
        <w:rPr>
          <w:rFonts w:hint="eastAsia" w:ascii="宋体" w:hAnsi="宋体"/>
          <w:bCs/>
          <w:color w:val="auto"/>
          <w:szCs w:val="21"/>
          <w:highlight w:val="none"/>
          <w:lang w:val="en-US" w:eastAsia="zh-CN"/>
        </w:rPr>
        <w:t>投标人</w:t>
      </w:r>
      <w:r>
        <w:rPr>
          <w:rFonts w:hint="eastAsia" w:ascii="宋体" w:hAnsi="宋体"/>
          <w:color w:val="auto"/>
          <w:szCs w:val="21"/>
          <w:highlight w:val="none"/>
        </w:rPr>
        <w:t>必须就“</w:t>
      </w:r>
      <w:r>
        <w:rPr>
          <w:rFonts w:hint="eastAsia" w:ascii="宋体" w:hAnsi="宋体"/>
          <w:color w:val="auto"/>
          <w:szCs w:val="21"/>
          <w:highlight w:val="none"/>
          <w:lang w:eastAsia="zh-CN"/>
        </w:rPr>
        <w:t>采购</w:t>
      </w:r>
      <w:r>
        <w:rPr>
          <w:rFonts w:hint="eastAsia" w:ascii="宋体" w:hAnsi="宋体"/>
          <w:color w:val="auto"/>
          <w:szCs w:val="21"/>
          <w:highlight w:val="none"/>
        </w:rPr>
        <w:t>需求”中所有服务内容作完整唯一报价，否则，其</w:t>
      </w:r>
      <w:r>
        <w:rPr>
          <w:rFonts w:hint="eastAsia" w:ascii="宋体" w:hAnsi="宋体"/>
          <w:color w:val="auto"/>
          <w:szCs w:val="21"/>
          <w:highlight w:val="none"/>
          <w:lang w:eastAsia="zh-CN"/>
        </w:rPr>
        <w:t>投</w:t>
      </w:r>
      <w:r>
        <w:rPr>
          <w:rFonts w:hint="eastAsia" w:ascii="宋体" w:hAnsi="宋体"/>
          <w:color w:val="auto"/>
          <w:szCs w:val="21"/>
          <w:highlight w:val="none"/>
        </w:rPr>
        <w:t>标将被拒绝。响应文件只允许有一个报价。</w:t>
      </w:r>
    </w:p>
    <w:p w14:paraId="4D8C04D9">
      <w:pPr>
        <w:pageBreakBefore/>
        <w:spacing w:line="300" w:lineRule="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二</w:t>
      </w:r>
    </w:p>
    <w:p w14:paraId="7EF47C0E">
      <w:pPr>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响应、偏离情况说明表</w:t>
      </w:r>
    </w:p>
    <w:p w14:paraId="4FE66B49">
      <w:pPr>
        <w:spacing w:line="300" w:lineRule="auto"/>
        <w:rPr>
          <w:rFonts w:hint="eastAsia" w:ascii="宋体" w:hAnsi="宋体"/>
          <w:color w:val="auto"/>
          <w:szCs w:val="21"/>
          <w:highlight w:val="none"/>
        </w:rPr>
      </w:pPr>
    </w:p>
    <w:p w14:paraId="60CADBA1">
      <w:pPr>
        <w:spacing w:line="360" w:lineRule="auto"/>
        <w:rPr>
          <w:rFonts w:hint="eastAsia" w:ascii="宋体" w:hAnsi="宋体"/>
          <w:color w:val="auto"/>
          <w:szCs w:val="21"/>
          <w:highlight w:val="none"/>
          <w:u w:val="singl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29F131A8">
      <w:pPr>
        <w:spacing w:line="360" w:lineRule="auto"/>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B7D10ED">
      <w:pPr>
        <w:spacing w:line="360" w:lineRule="auto"/>
        <w:rPr>
          <w:rFonts w:hint="eastAsia" w:ascii="宋体" w:hAnsi="宋体"/>
          <w:color w:val="auto"/>
          <w:szCs w:val="21"/>
          <w:highlight w:val="none"/>
        </w:rPr>
      </w:pPr>
    </w:p>
    <w:tbl>
      <w:tblPr>
        <w:tblStyle w:val="28"/>
        <w:tblW w:w="9211" w:type="dxa"/>
        <w:jc w:val="center"/>
        <w:tblLayout w:type="fixed"/>
        <w:tblCellMar>
          <w:top w:w="0" w:type="dxa"/>
          <w:left w:w="10" w:type="dxa"/>
          <w:bottom w:w="0" w:type="dxa"/>
          <w:right w:w="10" w:type="dxa"/>
        </w:tblCellMar>
      </w:tblPr>
      <w:tblGrid>
        <w:gridCol w:w="733"/>
        <w:gridCol w:w="2256"/>
        <w:gridCol w:w="3869"/>
        <w:gridCol w:w="1042"/>
        <w:gridCol w:w="1311"/>
      </w:tblGrid>
      <w:tr w14:paraId="5A4BA5A3">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2AB24D43">
            <w:pPr>
              <w:pStyle w:val="59"/>
              <w:spacing w:line="240" w:lineRule="auto"/>
              <w:ind w:firstLine="0"/>
              <w:jc w:val="center"/>
              <w:rPr>
                <w:color w:val="auto"/>
                <w:sz w:val="21"/>
                <w:szCs w:val="21"/>
                <w:highlight w:val="none"/>
              </w:rPr>
            </w:pPr>
            <w:r>
              <w:rPr>
                <w:b/>
                <w:bCs/>
                <w:color w:val="auto"/>
                <w:sz w:val="21"/>
                <w:szCs w:val="21"/>
                <w:highlight w:val="none"/>
              </w:rPr>
              <w:t>序号</w:t>
            </w:r>
          </w:p>
        </w:tc>
        <w:tc>
          <w:tcPr>
            <w:tcW w:w="2256" w:type="dxa"/>
            <w:tcBorders>
              <w:top w:val="single" w:color="auto" w:sz="4" w:space="0"/>
              <w:left w:val="single" w:color="auto" w:sz="4" w:space="0"/>
            </w:tcBorders>
            <w:shd w:val="clear" w:color="auto" w:fill="FFFFFF"/>
            <w:noWrap/>
            <w:vAlign w:val="center"/>
          </w:tcPr>
          <w:p w14:paraId="308B1601">
            <w:pPr>
              <w:pStyle w:val="59"/>
              <w:spacing w:line="240" w:lineRule="auto"/>
              <w:ind w:firstLine="0"/>
              <w:jc w:val="center"/>
              <w:rPr>
                <w:color w:val="auto"/>
                <w:sz w:val="21"/>
                <w:szCs w:val="21"/>
                <w:highlight w:val="none"/>
              </w:rPr>
            </w:pPr>
            <w:r>
              <w:rPr>
                <w:b/>
                <w:bCs/>
                <w:color w:val="auto"/>
                <w:sz w:val="21"/>
                <w:szCs w:val="21"/>
                <w:highlight w:val="none"/>
              </w:rPr>
              <w:t>条款名称</w:t>
            </w:r>
          </w:p>
        </w:tc>
        <w:tc>
          <w:tcPr>
            <w:tcW w:w="3869" w:type="dxa"/>
            <w:tcBorders>
              <w:top w:val="single" w:color="auto" w:sz="4" w:space="0"/>
              <w:left w:val="single" w:color="auto" w:sz="4" w:space="0"/>
            </w:tcBorders>
            <w:shd w:val="clear" w:color="auto" w:fill="FFFFFF"/>
            <w:noWrap/>
            <w:vAlign w:val="center"/>
          </w:tcPr>
          <w:p w14:paraId="6C712081">
            <w:pPr>
              <w:pStyle w:val="59"/>
              <w:spacing w:line="240" w:lineRule="auto"/>
              <w:ind w:left="0" w:leftChars="0" w:firstLine="0" w:firstLineChars="0"/>
              <w:jc w:val="center"/>
              <w:rPr>
                <w:color w:val="auto"/>
                <w:sz w:val="21"/>
                <w:szCs w:val="21"/>
                <w:highlight w:val="none"/>
              </w:rPr>
            </w:pPr>
            <w:r>
              <w:rPr>
                <w:b/>
                <w:bCs/>
                <w:color w:val="auto"/>
                <w:sz w:val="21"/>
                <w:szCs w:val="21"/>
                <w:highlight w:val="none"/>
              </w:rPr>
              <w:t>约定内容</w:t>
            </w:r>
          </w:p>
        </w:tc>
        <w:tc>
          <w:tcPr>
            <w:tcW w:w="1042" w:type="dxa"/>
            <w:tcBorders>
              <w:top w:val="single" w:color="auto" w:sz="4" w:space="0"/>
              <w:left w:val="single" w:color="auto" w:sz="4" w:space="0"/>
              <w:right w:val="single" w:color="auto" w:sz="4" w:space="0"/>
            </w:tcBorders>
            <w:shd w:val="clear" w:color="auto" w:fill="FFFFFF"/>
            <w:noWrap/>
            <w:vAlign w:val="center"/>
          </w:tcPr>
          <w:p w14:paraId="4D4B3A81">
            <w:pPr>
              <w:pStyle w:val="59"/>
              <w:spacing w:line="240" w:lineRule="auto"/>
              <w:ind w:firstLine="0"/>
              <w:jc w:val="center"/>
              <w:rPr>
                <w:rFonts w:hint="default" w:eastAsia="宋体"/>
                <w:color w:val="auto"/>
                <w:sz w:val="21"/>
                <w:szCs w:val="21"/>
                <w:highlight w:val="none"/>
                <w:lang w:val="en-US" w:eastAsia="zh-CN"/>
              </w:rPr>
            </w:pPr>
            <w:r>
              <w:rPr>
                <w:rFonts w:hint="eastAsia"/>
                <w:b/>
                <w:bCs/>
                <w:color w:val="auto"/>
                <w:sz w:val="21"/>
                <w:szCs w:val="21"/>
                <w:highlight w:val="none"/>
                <w:lang w:val="en-US" w:eastAsia="zh-CN"/>
              </w:rPr>
              <w:t>是否响应</w:t>
            </w:r>
          </w:p>
        </w:tc>
        <w:tc>
          <w:tcPr>
            <w:tcW w:w="1311" w:type="dxa"/>
            <w:tcBorders>
              <w:top w:val="single" w:color="auto" w:sz="4" w:space="0"/>
              <w:left w:val="single" w:color="auto" w:sz="4" w:space="0"/>
              <w:right w:val="single" w:color="auto" w:sz="4" w:space="0"/>
            </w:tcBorders>
            <w:shd w:val="clear" w:color="auto" w:fill="FFFFFF"/>
            <w:noWrap/>
            <w:vAlign w:val="center"/>
          </w:tcPr>
          <w:p w14:paraId="10ADDB3B">
            <w:pPr>
              <w:pStyle w:val="59"/>
              <w:spacing w:line="240" w:lineRule="auto"/>
              <w:ind w:firstLine="0"/>
              <w:jc w:val="center"/>
              <w:rPr>
                <w:rFonts w:hint="default"/>
                <w:b/>
                <w:bCs/>
                <w:color w:val="auto"/>
                <w:sz w:val="21"/>
                <w:szCs w:val="21"/>
                <w:highlight w:val="none"/>
                <w:lang w:val="en-US" w:eastAsia="zh-CN"/>
              </w:rPr>
            </w:pPr>
            <w:r>
              <w:rPr>
                <w:rFonts w:hint="eastAsia"/>
                <w:b/>
                <w:bCs/>
                <w:color w:val="auto"/>
                <w:sz w:val="21"/>
                <w:szCs w:val="21"/>
                <w:highlight w:val="none"/>
                <w:lang w:val="en-US" w:eastAsia="zh-CN"/>
              </w:rPr>
              <w:t>偏离说明</w:t>
            </w:r>
          </w:p>
        </w:tc>
      </w:tr>
      <w:tr w14:paraId="649212CA">
        <w:tblPrEx>
          <w:tblCellMar>
            <w:top w:w="0" w:type="dxa"/>
            <w:left w:w="10" w:type="dxa"/>
            <w:bottom w:w="0" w:type="dxa"/>
            <w:right w:w="10" w:type="dxa"/>
          </w:tblCellMar>
        </w:tblPrEx>
        <w:trPr>
          <w:trHeight w:val="667" w:hRule="exact"/>
          <w:jc w:val="center"/>
        </w:trPr>
        <w:tc>
          <w:tcPr>
            <w:tcW w:w="733" w:type="dxa"/>
            <w:tcBorders>
              <w:top w:val="single" w:color="auto" w:sz="4" w:space="0"/>
              <w:left w:val="single" w:color="auto" w:sz="4" w:space="0"/>
            </w:tcBorders>
            <w:shd w:val="clear" w:color="auto" w:fill="FFFFFF"/>
            <w:noWrap/>
            <w:vAlign w:val="center"/>
          </w:tcPr>
          <w:p w14:paraId="33A6E2DD">
            <w:pPr>
              <w:pStyle w:val="59"/>
              <w:spacing w:line="240" w:lineRule="auto"/>
              <w:ind w:firstLine="260"/>
              <w:jc w:val="left"/>
              <w:rPr>
                <w:rFonts w:hint="eastAsia" w:eastAsia="宋体"/>
                <w:color w:val="auto"/>
                <w:sz w:val="21"/>
                <w:szCs w:val="21"/>
                <w:highlight w:val="none"/>
                <w:lang w:eastAsia="zh-CN"/>
              </w:rPr>
            </w:pPr>
            <w:r>
              <w:rPr>
                <w:rFonts w:hint="eastAsia"/>
                <w:color w:val="auto"/>
                <w:sz w:val="21"/>
                <w:szCs w:val="21"/>
                <w:highlight w:val="none"/>
                <w:lang w:val="en-US" w:eastAsia="zh-CN"/>
              </w:rPr>
              <w:t>1</w:t>
            </w:r>
          </w:p>
        </w:tc>
        <w:tc>
          <w:tcPr>
            <w:tcW w:w="2256" w:type="dxa"/>
            <w:tcBorders>
              <w:top w:val="single" w:color="auto" w:sz="4" w:space="0"/>
              <w:left w:val="single" w:color="auto" w:sz="4" w:space="0"/>
            </w:tcBorders>
            <w:shd w:val="clear" w:color="auto" w:fill="FFFFFF"/>
            <w:noWrap/>
            <w:vAlign w:val="center"/>
          </w:tcPr>
          <w:p w14:paraId="4DF0E043">
            <w:pPr>
              <w:pStyle w:val="59"/>
              <w:spacing w:line="240" w:lineRule="auto"/>
              <w:ind w:left="210" w:leftChars="100" w:firstLine="0"/>
              <w:jc w:val="left"/>
              <w:rPr>
                <w:rFonts w:hint="default" w:eastAsia="宋体"/>
                <w:color w:val="auto"/>
                <w:sz w:val="21"/>
                <w:szCs w:val="21"/>
                <w:highlight w:val="none"/>
                <w:lang w:val="en-US" w:eastAsia="zh-CN"/>
              </w:rPr>
            </w:pPr>
            <w:r>
              <w:rPr>
                <w:rFonts w:hint="eastAsia" w:cs="Times New Roman"/>
                <w:color w:val="auto"/>
                <w:kern w:val="1"/>
                <w:sz w:val="21"/>
                <w:szCs w:val="21"/>
                <w:highlight w:val="none"/>
                <w:lang w:val="en-US" w:eastAsia="zh-CN" w:bidi="ar-SA"/>
              </w:rPr>
              <w:t>参数</w:t>
            </w:r>
            <w:r>
              <w:rPr>
                <w:rFonts w:hint="eastAsia" w:hAnsi="宋体" w:cs="Times New Roman"/>
                <w:color w:val="auto"/>
                <w:kern w:val="1"/>
                <w:sz w:val="21"/>
                <w:szCs w:val="21"/>
                <w:highlight w:val="none"/>
                <w:lang w:val="en-US" w:eastAsia="zh-CN" w:bidi="ar-SA"/>
              </w:rPr>
              <w:t>需求</w:t>
            </w:r>
          </w:p>
        </w:tc>
        <w:tc>
          <w:tcPr>
            <w:tcW w:w="3869" w:type="dxa"/>
            <w:tcBorders>
              <w:top w:val="single" w:color="auto" w:sz="4" w:space="0"/>
              <w:left w:val="single" w:color="auto" w:sz="4" w:space="0"/>
            </w:tcBorders>
            <w:shd w:val="clear" w:color="auto" w:fill="FFFFFF"/>
            <w:noWrap/>
            <w:vAlign w:val="center"/>
          </w:tcPr>
          <w:p w14:paraId="666775DE">
            <w:pPr>
              <w:pStyle w:val="59"/>
              <w:spacing w:line="240" w:lineRule="auto"/>
              <w:ind w:left="210" w:leftChars="100" w:firstLine="0"/>
              <w:jc w:val="left"/>
              <w:rPr>
                <w:rFonts w:hint="default" w:hAnsi="宋体" w:cs="Times New Roman"/>
                <w:color w:val="auto"/>
                <w:kern w:val="1"/>
                <w:sz w:val="21"/>
                <w:szCs w:val="21"/>
                <w:highlight w:val="none"/>
                <w:lang w:val="en-US" w:eastAsia="zh-CN" w:bidi="ar-SA"/>
              </w:rPr>
            </w:pPr>
            <w:r>
              <w:rPr>
                <w:rFonts w:hint="eastAsia" w:hAnsi="宋体" w:cs="Times New Roman"/>
                <w:color w:val="auto"/>
                <w:kern w:val="1"/>
                <w:sz w:val="21"/>
                <w:szCs w:val="21"/>
                <w:highlight w:val="none"/>
                <w:lang w:val="en-US" w:eastAsia="zh-CN" w:bidi="ar-SA"/>
              </w:rPr>
              <w:t>逐条响应</w:t>
            </w:r>
            <w:r>
              <w:rPr>
                <w:rFonts w:hint="eastAsia" w:cs="Times New Roman"/>
                <w:color w:val="auto"/>
                <w:kern w:val="1"/>
                <w:sz w:val="21"/>
                <w:szCs w:val="21"/>
                <w:highlight w:val="none"/>
                <w:lang w:val="en-US" w:eastAsia="zh-CN" w:bidi="ar-SA"/>
              </w:rPr>
              <w:t>参数</w:t>
            </w:r>
            <w:r>
              <w:rPr>
                <w:rFonts w:hint="eastAsia" w:hAnsi="宋体" w:cs="Times New Roman"/>
                <w:color w:val="auto"/>
                <w:kern w:val="1"/>
                <w:sz w:val="21"/>
                <w:szCs w:val="21"/>
                <w:highlight w:val="none"/>
                <w:lang w:val="en-US" w:eastAsia="zh-CN" w:bidi="ar-SA"/>
              </w:rPr>
              <w:t>需求</w:t>
            </w:r>
          </w:p>
        </w:tc>
        <w:tc>
          <w:tcPr>
            <w:tcW w:w="1042" w:type="dxa"/>
            <w:tcBorders>
              <w:top w:val="single" w:color="auto" w:sz="4" w:space="0"/>
              <w:left w:val="single" w:color="auto" w:sz="4" w:space="0"/>
              <w:right w:val="single" w:color="auto" w:sz="4" w:space="0"/>
            </w:tcBorders>
            <w:shd w:val="clear" w:color="auto" w:fill="FFFFFF"/>
            <w:noWrap/>
            <w:vAlign w:val="top"/>
          </w:tcPr>
          <w:p w14:paraId="01128E24">
            <w:pPr>
              <w:rPr>
                <w:color w:val="auto"/>
                <w:szCs w:val="21"/>
                <w:highlight w:val="none"/>
              </w:rPr>
            </w:pPr>
          </w:p>
        </w:tc>
        <w:tc>
          <w:tcPr>
            <w:tcW w:w="1311" w:type="dxa"/>
            <w:tcBorders>
              <w:top w:val="single" w:color="auto" w:sz="4" w:space="0"/>
              <w:left w:val="single" w:color="auto" w:sz="4" w:space="0"/>
              <w:right w:val="single" w:color="auto" w:sz="4" w:space="0"/>
            </w:tcBorders>
            <w:shd w:val="clear" w:color="auto" w:fill="FFFFFF"/>
            <w:noWrap/>
            <w:vAlign w:val="top"/>
          </w:tcPr>
          <w:p w14:paraId="61AFCABC">
            <w:pPr>
              <w:rPr>
                <w:color w:val="auto"/>
                <w:szCs w:val="21"/>
                <w:highlight w:val="none"/>
              </w:rPr>
            </w:pPr>
          </w:p>
        </w:tc>
      </w:tr>
      <w:tr w14:paraId="6E367907">
        <w:tblPrEx>
          <w:tblCellMar>
            <w:top w:w="0" w:type="dxa"/>
            <w:left w:w="10" w:type="dxa"/>
            <w:bottom w:w="0" w:type="dxa"/>
            <w:right w:w="10" w:type="dxa"/>
          </w:tblCellMar>
        </w:tblPrEx>
        <w:trPr>
          <w:trHeight w:val="885" w:hRule="exact"/>
          <w:jc w:val="center"/>
        </w:trPr>
        <w:tc>
          <w:tcPr>
            <w:tcW w:w="733" w:type="dxa"/>
            <w:tcBorders>
              <w:top w:val="single" w:color="auto" w:sz="4" w:space="0"/>
              <w:left w:val="single" w:color="auto" w:sz="4" w:space="0"/>
            </w:tcBorders>
            <w:shd w:val="clear" w:color="auto" w:fill="FFFFFF"/>
            <w:noWrap/>
            <w:vAlign w:val="center"/>
          </w:tcPr>
          <w:p w14:paraId="3D57F3BB">
            <w:pPr>
              <w:pStyle w:val="59"/>
              <w:spacing w:line="240" w:lineRule="auto"/>
              <w:ind w:firstLine="260"/>
              <w:jc w:val="left"/>
              <w:rPr>
                <w:rFonts w:hint="eastAsia" w:eastAsia="宋体"/>
                <w:color w:val="auto"/>
                <w:sz w:val="21"/>
                <w:szCs w:val="21"/>
                <w:highlight w:val="none"/>
                <w:lang w:eastAsia="zh-CN"/>
              </w:rPr>
            </w:pPr>
            <w:r>
              <w:rPr>
                <w:rFonts w:hint="eastAsia"/>
                <w:color w:val="auto"/>
                <w:sz w:val="21"/>
                <w:szCs w:val="21"/>
                <w:highlight w:val="none"/>
                <w:lang w:val="en-US" w:eastAsia="zh-CN"/>
              </w:rPr>
              <w:t>2</w:t>
            </w:r>
          </w:p>
        </w:tc>
        <w:tc>
          <w:tcPr>
            <w:tcW w:w="2256" w:type="dxa"/>
            <w:tcBorders>
              <w:top w:val="single" w:color="auto" w:sz="4" w:space="0"/>
              <w:left w:val="single" w:color="auto" w:sz="4" w:space="0"/>
            </w:tcBorders>
            <w:shd w:val="clear" w:color="auto" w:fill="FFFFFF"/>
            <w:noWrap/>
            <w:vAlign w:val="center"/>
          </w:tcPr>
          <w:p w14:paraId="328F856C">
            <w:pPr>
              <w:pStyle w:val="59"/>
              <w:spacing w:line="240" w:lineRule="auto"/>
              <w:ind w:left="210" w:leftChars="100" w:firstLine="0" w:firstLineChars="0"/>
              <w:jc w:val="left"/>
              <w:rPr>
                <w:rFonts w:hint="eastAsia"/>
                <w:color w:val="auto"/>
                <w:sz w:val="21"/>
                <w:szCs w:val="21"/>
                <w:highlight w:val="none"/>
              </w:rPr>
            </w:pPr>
            <w:r>
              <w:rPr>
                <w:rFonts w:hint="eastAsia"/>
                <w:color w:val="auto"/>
                <w:sz w:val="21"/>
                <w:szCs w:val="21"/>
                <w:highlight w:val="none"/>
              </w:rPr>
              <w:t>质量标准</w:t>
            </w:r>
          </w:p>
        </w:tc>
        <w:tc>
          <w:tcPr>
            <w:tcW w:w="3869" w:type="dxa"/>
            <w:tcBorders>
              <w:top w:val="single" w:color="auto" w:sz="4" w:space="0"/>
              <w:left w:val="single" w:color="auto" w:sz="4" w:space="0"/>
            </w:tcBorders>
            <w:shd w:val="clear" w:color="auto" w:fill="FFFFFF"/>
            <w:noWrap/>
            <w:vAlign w:val="center"/>
          </w:tcPr>
          <w:p w14:paraId="50E9FBFC">
            <w:pPr>
              <w:pStyle w:val="59"/>
              <w:spacing w:line="240" w:lineRule="auto"/>
              <w:ind w:left="210" w:leftChars="100" w:firstLine="0" w:firstLineChars="0"/>
              <w:jc w:val="left"/>
              <w:rPr>
                <w:rFonts w:hint="eastAsia" w:hAnsi="宋体" w:cs="Times New Roman"/>
                <w:color w:val="auto"/>
                <w:kern w:val="1"/>
                <w:sz w:val="21"/>
                <w:szCs w:val="21"/>
                <w:highlight w:val="none"/>
                <w:lang w:val="en-US" w:eastAsia="zh-CN" w:bidi="ar-SA"/>
              </w:rPr>
            </w:pPr>
            <w:r>
              <w:rPr>
                <w:rFonts w:hint="eastAsia"/>
                <w:color w:val="auto"/>
                <w:sz w:val="21"/>
                <w:szCs w:val="21"/>
                <w:highlight w:val="none"/>
              </w:rPr>
              <w:t>符合国家及地方现行规范要求</w:t>
            </w:r>
            <w:r>
              <w:rPr>
                <w:rFonts w:hint="eastAsia"/>
                <w:color w:val="auto"/>
                <w:sz w:val="21"/>
                <w:szCs w:val="21"/>
                <w:highlight w:val="none"/>
                <w:lang w:eastAsia="zh-CN"/>
              </w:rPr>
              <w:t>，</w:t>
            </w:r>
            <w:r>
              <w:rPr>
                <w:rFonts w:hint="eastAsia"/>
                <w:color w:val="auto"/>
                <w:sz w:val="21"/>
                <w:szCs w:val="21"/>
                <w:highlight w:val="none"/>
                <w:lang w:val="en-US" w:eastAsia="zh-CN"/>
              </w:rPr>
              <w:t>以及所有适用的标准、要求、规范及法规。</w:t>
            </w:r>
          </w:p>
        </w:tc>
        <w:tc>
          <w:tcPr>
            <w:tcW w:w="1042" w:type="dxa"/>
            <w:tcBorders>
              <w:top w:val="single" w:color="auto" w:sz="4" w:space="0"/>
              <w:left w:val="single" w:color="auto" w:sz="4" w:space="0"/>
              <w:right w:val="single" w:color="auto" w:sz="4" w:space="0"/>
            </w:tcBorders>
            <w:shd w:val="clear" w:color="auto" w:fill="FFFFFF"/>
            <w:noWrap/>
            <w:vAlign w:val="top"/>
          </w:tcPr>
          <w:p w14:paraId="742BA911">
            <w:pPr>
              <w:rPr>
                <w:color w:val="auto"/>
                <w:szCs w:val="21"/>
                <w:highlight w:val="none"/>
              </w:rPr>
            </w:pPr>
          </w:p>
        </w:tc>
        <w:tc>
          <w:tcPr>
            <w:tcW w:w="1311" w:type="dxa"/>
            <w:tcBorders>
              <w:top w:val="single" w:color="auto" w:sz="4" w:space="0"/>
              <w:left w:val="single" w:color="auto" w:sz="4" w:space="0"/>
              <w:right w:val="single" w:color="auto" w:sz="4" w:space="0"/>
            </w:tcBorders>
            <w:shd w:val="clear" w:color="auto" w:fill="FFFFFF"/>
            <w:noWrap/>
            <w:vAlign w:val="top"/>
          </w:tcPr>
          <w:p w14:paraId="0297510B">
            <w:pPr>
              <w:rPr>
                <w:color w:val="auto"/>
                <w:szCs w:val="21"/>
                <w:highlight w:val="none"/>
              </w:rPr>
            </w:pPr>
          </w:p>
        </w:tc>
      </w:tr>
      <w:tr w14:paraId="39A284E2">
        <w:tblPrEx>
          <w:tblCellMar>
            <w:top w:w="0" w:type="dxa"/>
            <w:left w:w="10" w:type="dxa"/>
            <w:bottom w:w="0" w:type="dxa"/>
            <w:right w:w="10" w:type="dxa"/>
          </w:tblCellMar>
        </w:tblPrEx>
        <w:trPr>
          <w:trHeight w:val="765" w:hRule="exact"/>
          <w:jc w:val="center"/>
        </w:trPr>
        <w:tc>
          <w:tcPr>
            <w:tcW w:w="733" w:type="dxa"/>
            <w:tcBorders>
              <w:top w:val="single" w:color="auto" w:sz="4" w:space="0"/>
              <w:left w:val="single" w:color="auto" w:sz="4" w:space="0"/>
            </w:tcBorders>
            <w:shd w:val="clear" w:color="auto" w:fill="FFFFFF"/>
            <w:noWrap/>
            <w:vAlign w:val="center"/>
          </w:tcPr>
          <w:p w14:paraId="14BE6532">
            <w:pPr>
              <w:pStyle w:val="59"/>
              <w:spacing w:line="240" w:lineRule="auto"/>
              <w:ind w:firstLine="260"/>
              <w:jc w:val="left"/>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2256" w:type="dxa"/>
            <w:tcBorders>
              <w:top w:val="single" w:color="auto" w:sz="4" w:space="0"/>
              <w:left w:val="single" w:color="auto" w:sz="4" w:space="0"/>
            </w:tcBorders>
            <w:shd w:val="clear" w:color="auto" w:fill="FFFFFF"/>
            <w:noWrap/>
            <w:vAlign w:val="center"/>
          </w:tcPr>
          <w:p w14:paraId="62271279">
            <w:pPr>
              <w:pStyle w:val="59"/>
              <w:spacing w:line="240" w:lineRule="auto"/>
              <w:ind w:left="210" w:leftChars="100" w:firstLine="0" w:firstLineChars="0"/>
              <w:jc w:val="left"/>
              <w:rPr>
                <w:rFonts w:hint="eastAsia"/>
                <w:color w:val="auto"/>
                <w:sz w:val="21"/>
                <w:szCs w:val="21"/>
                <w:highlight w:val="none"/>
              </w:rPr>
            </w:pPr>
            <w:r>
              <w:rPr>
                <w:rFonts w:hint="eastAsia"/>
                <w:color w:val="auto"/>
                <w:sz w:val="21"/>
                <w:szCs w:val="21"/>
                <w:highlight w:val="none"/>
              </w:rPr>
              <w:t>是否接受</w:t>
            </w:r>
            <w:r>
              <w:rPr>
                <w:rFonts w:hint="eastAsia"/>
                <w:color w:val="auto"/>
                <w:sz w:val="21"/>
                <w:szCs w:val="21"/>
                <w:highlight w:val="none"/>
                <w:lang w:val="en-US" w:eastAsia="zh-CN"/>
              </w:rPr>
              <w:t>招标</w:t>
            </w:r>
            <w:r>
              <w:rPr>
                <w:rFonts w:hint="eastAsia"/>
                <w:color w:val="auto"/>
                <w:sz w:val="21"/>
                <w:szCs w:val="21"/>
                <w:highlight w:val="none"/>
              </w:rPr>
              <w:t>文件中的合同条款</w:t>
            </w:r>
          </w:p>
        </w:tc>
        <w:tc>
          <w:tcPr>
            <w:tcW w:w="3869" w:type="dxa"/>
            <w:tcBorders>
              <w:top w:val="single" w:color="auto" w:sz="4" w:space="0"/>
              <w:left w:val="single" w:color="auto" w:sz="4" w:space="0"/>
            </w:tcBorders>
            <w:shd w:val="clear" w:color="auto" w:fill="FFFFFF"/>
            <w:noWrap/>
            <w:vAlign w:val="center"/>
          </w:tcPr>
          <w:p w14:paraId="1A448A98">
            <w:pPr>
              <w:pStyle w:val="59"/>
              <w:spacing w:line="240" w:lineRule="auto"/>
              <w:ind w:left="210" w:leftChars="100" w:firstLine="0" w:firstLineChars="0"/>
              <w:jc w:val="left"/>
              <w:rPr>
                <w:rFonts w:hint="default"/>
                <w:color w:val="auto"/>
                <w:sz w:val="21"/>
                <w:szCs w:val="21"/>
                <w:highlight w:val="none"/>
                <w:lang w:val="en-US" w:eastAsia="zh-CN"/>
              </w:rPr>
            </w:pPr>
            <w:r>
              <w:rPr>
                <w:color w:val="auto"/>
                <w:sz w:val="21"/>
                <w:szCs w:val="21"/>
                <w:highlight w:val="none"/>
              </w:rPr>
              <w:t>接受</w:t>
            </w:r>
            <w:r>
              <w:rPr>
                <w:rFonts w:hint="eastAsia"/>
                <w:color w:val="auto"/>
                <w:sz w:val="21"/>
                <w:szCs w:val="21"/>
                <w:highlight w:val="none"/>
                <w:lang w:val="en-US" w:eastAsia="zh-CN"/>
              </w:rPr>
              <w:t>招标</w:t>
            </w:r>
            <w:r>
              <w:rPr>
                <w:color w:val="auto"/>
                <w:sz w:val="21"/>
                <w:szCs w:val="21"/>
                <w:highlight w:val="none"/>
              </w:rPr>
              <w:t>文件中的合同条款</w:t>
            </w:r>
          </w:p>
        </w:tc>
        <w:tc>
          <w:tcPr>
            <w:tcW w:w="1042" w:type="dxa"/>
            <w:tcBorders>
              <w:top w:val="single" w:color="auto" w:sz="4" w:space="0"/>
              <w:left w:val="single" w:color="auto" w:sz="4" w:space="0"/>
              <w:right w:val="single" w:color="auto" w:sz="4" w:space="0"/>
            </w:tcBorders>
            <w:shd w:val="clear" w:color="auto" w:fill="FFFFFF"/>
            <w:noWrap/>
            <w:vAlign w:val="top"/>
          </w:tcPr>
          <w:p w14:paraId="574F1B5C">
            <w:pPr>
              <w:rPr>
                <w:color w:val="auto"/>
                <w:szCs w:val="21"/>
                <w:highlight w:val="none"/>
              </w:rPr>
            </w:pPr>
          </w:p>
        </w:tc>
        <w:tc>
          <w:tcPr>
            <w:tcW w:w="1311" w:type="dxa"/>
            <w:tcBorders>
              <w:top w:val="single" w:color="auto" w:sz="4" w:space="0"/>
              <w:left w:val="single" w:color="auto" w:sz="4" w:space="0"/>
              <w:right w:val="single" w:color="auto" w:sz="4" w:space="0"/>
            </w:tcBorders>
            <w:shd w:val="clear" w:color="auto" w:fill="FFFFFF"/>
            <w:noWrap/>
            <w:vAlign w:val="top"/>
          </w:tcPr>
          <w:p w14:paraId="0216B03B">
            <w:pPr>
              <w:rPr>
                <w:color w:val="auto"/>
                <w:szCs w:val="21"/>
                <w:highlight w:val="none"/>
              </w:rPr>
            </w:pPr>
          </w:p>
        </w:tc>
      </w:tr>
      <w:tr w14:paraId="505438EC">
        <w:tblPrEx>
          <w:tblCellMar>
            <w:top w:w="0" w:type="dxa"/>
            <w:left w:w="10" w:type="dxa"/>
            <w:bottom w:w="0" w:type="dxa"/>
            <w:right w:w="10" w:type="dxa"/>
          </w:tblCellMar>
        </w:tblPrEx>
        <w:trPr>
          <w:trHeight w:val="740" w:hRule="exact"/>
          <w:jc w:val="center"/>
        </w:trPr>
        <w:tc>
          <w:tcPr>
            <w:tcW w:w="733" w:type="dxa"/>
            <w:tcBorders>
              <w:top w:val="single" w:color="auto" w:sz="4" w:space="0"/>
              <w:left w:val="single" w:color="auto" w:sz="4" w:space="0"/>
            </w:tcBorders>
            <w:shd w:val="clear" w:color="auto" w:fill="FFFFFF"/>
            <w:noWrap/>
            <w:vAlign w:val="center"/>
          </w:tcPr>
          <w:p w14:paraId="0AEB15FB">
            <w:pPr>
              <w:pStyle w:val="59"/>
              <w:spacing w:line="240" w:lineRule="auto"/>
              <w:ind w:firstLine="260"/>
              <w:jc w:val="left"/>
              <w:rPr>
                <w:rFonts w:hint="eastAsia" w:eastAsia="宋体"/>
                <w:color w:val="auto"/>
                <w:sz w:val="21"/>
                <w:szCs w:val="21"/>
                <w:highlight w:val="none"/>
                <w:lang w:eastAsia="zh-CN"/>
              </w:rPr>
            </w:pPr>
            <w:r>
              <w:rPr>
                <w:rFonts w:hint="eastAsia"/>
                <w:color w:val="auto"/>
                <w:sz w:val="21"/>
                <w:szCs w:val="21"/>
                <w:highlight w:val="none"/>
                <w:lang w:val="en-US" w:eastAsia="zh-CN"/>
              </w:rPr>
              <w:t>4</w:t>
            </w:r>
          </w:p>
        </w:tc>
        <w:tc>
          <w:tcPr>
            <w:tcW w:w="2256" w:type="dxa"/>
            <w:tcBorders>
              <w:top w:val="single" w:color="auto" w:sz="4" w:space="0"/>
              <w:left w:val="single" w:color="auto" w:sz="4" w:space="0"/>
            </w:tcBorders>
            <w:shd w:val="clear" w:color="auto" w:fill="FFFFFF"/>
            <w:noWrap/>
            <w:vAlign w:val="center"/>
          </w:tcPr>
          <w:p w14:paraId="200103E4">
            <w:pPr>
              <w:pStyle w:val="59"/>
              <w:spacing w:line="240" w:lineRule="auto"/>
              <w:ind w:left="210" w:leftChars="100" w:firstLine="0" w:firstLineChars="0"/>
              <w:jc w:val="left"/>
              <w:rPr>
                <w:rFonts w:hint="eastAsia"/>
                <w:color w:val="auto"/>
                <w:sz w:val="21"/>
                <w:szCs w:val="21"/>
                <w:highlight w:val="none"/>
              </w:rPr>
            </w:pPr>
            <w:r>
              <w:rPr>
                <w:rFonts w:hint="eastAsia"/>
                <w:color w:val="auto"/>
                <w:sz w:val="21"/>
                <w:szCs w:val="21"/>
                <w:highlight w:val="none"/>
                <w:lang w:val="en-US" w:eastAsia="zh-CN"/>
              </w:rPr>
              <w:t>参与招标</w:t>
            </w:r>
            <w:r>
              <w:rPr>
                <w:rFonts w:hint="eastAsia"/>
                <w:color w:val="auto"/>
                <w:sz w:val="21"/>
                <w:szCs w:val="21"/>
                <w:highlight w:val="none"/>
              </w:rPr>
              <w:t>有效期</w:t>
            </w:r>
          </w:p>
        </w:tc>
        <w:tc>
          <w:tcPr>
            <w:tcW w:w="3869" w:type="dxa"/>
            <w:tcBorders>
              <w:top w:val="single" w:color="auto" w:sz="4" w:space="0"/>
              <w:left w:val="single" w:color="auto" w:sz="4" w:space="0"/>
            </w:tcBorders>
            <w:shd w:val="clear" w:color="auto" w:fill="FFFFFF"/>
            <w:noWrap/>
            <w:vAlign w:val="center"/>
          </w:tcPr>
          <w:p w14:paraId="3E8E9530">
            <w:pPr>
              <w:pStyle w:val="59"/>
              <w:spacing w:line="240" w:lineRule="auto"/>
              <w:ind w:left="210" w:leftChars="100" w:firstLine="0" w:firstLineChars="0"/>
              <w:jc w:val="left"/>
              <w:rPr>
                <w:color w:val="auto"/>
                <w:sz w:val="21"/>
                <w:szCs w:val="21"/>
                <w:highlight w:val="none"/>
              </w:rPr>
            </w:pPr>
            <w:r>
              <w:rPr>
                <w:color w:val="auto"/>
                <w:sz w:val="21"/>
                <w:szCs w:val="21"/>
                <w:highlight w:val="none"/>
              </w:rPr>
              <w:t>天数：</w:t>
            </w:r>
            <w:r>
              <w:rPr>
                <w:rFonts w:hint="eastAsia"/>
                <w:color w:val="auto"/>
                <w:sz w:val="21"/>
                <w:szCs w:val="21"/>
                <w:highlight w:val="none"/>
                <w:lang w:val="en-US" w:eastAsia="zh-CN"/>
              </w:rPr>
              <w:t>90</w:t>
            </w:r>
            <w:r>
              <w:rPr>
                <w:color w:val="auto"/>
                <w:sz w:val="21"/>
                <w:szCs w:val="21"/>
                <w:highlight w:val="none"/>
              </w:rPr>
              <w:t>日历天(截止之日算起)</w:t>
            </w:r>
          </w:p>
        </w:tc>
        <w:tc>
          <w:tcPr>
            <w:tcW w:w="1042" w:type="dxa"/>
            <w:tcBorders>
              <w:top w:val="single" w:color="auto" w:sz="4" w:space="0"/>
              <w:left w:val="single" w:color="auto" w:sz="4" w:space="0"/>
              <w:right w:val="single" w:color="auto" w:sz="4" w:space="0"/>
            </w:tcBorders>
            <w:shd w:val="clear" w:color="auto" w:fill="FFFFFF"/>
            <w:noWrap/>
            <w:vAlign w:val="top"/>
          </w:tcPr>
          <w:p w14:paraId="6F61D177">
            <w:pPr>
              <w:rPr>
                <w:color w:val="auto"/>
                <w:szCs w:val="21"/>
                <w:highlight w:val="none"/>
              </w:rPr>
            </w:pPr>
          </w:p>
        </w:tc>
        <w:tc>
          <w:tcPr>
            <w:tcW w:w="1311" w:type="dxa"/>
            <w:tcBorders>
              <w:top w:val="single" w:color="auto" w:sz="4" w:space="0"/>
              <w:left w:val="single" w:color="auto" w:sz="4" w:space="0"/>
              <w:right w:val="single" w:color="auto" w:sz="4" w:space="0"/>
            </w:tcBorders>
            <w:shd w:val="clear" w:color="auto" w:fill="FFFFFF"/>
            <w:noWrap/>
            <w:vAlign w:val="top"/>
          </w:tcPr>
          <w:p w14:paraId="1465927F">
            <w:pPr>
              <w:rPr>
                <w:color w:val="auto"/>
                <w:szCs w:val="21"/>
                <w:highlight w:val="none"/>
              </w:rPr>
            </w:pPr>
          </w:p>
        </w:tc>
      </w:tr>
      <w:tr w14:paraId="7819B81F">
        <w:tblPrEx>
          <w:tblCellMar>
            <w:top w:w="0" w:type="dxa"/>
            <w:left w:w="10" w:type="dxa"/>
            <w:bottom w:w="0" w:type="dxa"/>
            <w:right w:w="10" w:type="dxa"/>
          </w:tblCellMar>
        </w:tblPrEx>
        <w:trPr>
          <w:trHeight w:val="700" w:hRule="exact"/>
          <w:jc w:val="center"/>
        </w:trPr>
        <w:tc>
          <w:tcPr>
            <w:tcW w:w="733" w:type="dxa"/>
            <w:tcBorders>
              <w:top w:val="single" w:color="auto" w:sz="4" w:space="0"/>
              <w:left w:val="single" w:color="auto" w:sz="4" w:space="0"/>
            </w:tcBorders>
            <w:shd w:val="clear" w:color="auto" w:fill="FFFFFF"/>
            <w:noWrap/>
            <w:vAlign w:val="center"/>
          </w:tcPr>
          <w:p w14:paraId="321A44D9">
            <w:pPr>
              <w:pStyle w:val="59"/>
              <w:spacing w:line="240" w:lineRule="auto"/>
              <w:ind w:firstLine="260"/>
              <w:jc w:val="left"/>
              <w:rPr>
                <w:rFonts w:hint="eastAsia" w:eastAsia="宋体"/>
                <w:color w:val="auto"/>
                <w:sz w:val="21"/>
                <w:szCs w:val="21"/>
                <w:highlight w:val="none"/>
                <w:lang w:eastAsia="zh-CN"/>
              </w:rPr>
            </w:pPr>
            <w:r>
              <w:rPr>
                <w:rFonts w:hint="eastAsia"/>
                <w:color w:val="auto"/>
                <w:sz w:val="21"/>
                <w:szCs w:val="21"/>
                <w:highlight w:val="none"/>
                <w:lang w:val="en-US" w:eastAsia="zh-CN"/>
              </w:rPr>
              <w:t>5</w:t>
            </w:r>
          </w:p>
        </w:tc>
        <w:tc>
          <w:tcPr>
            <w:tcW w:w="2256" w:type="dxa"/>
            <w:tcBorders>
              <w:top w:val="single" w:color="auto" w:sz="4" w:space="0"/>
              <w:left w:val="single" w:color="auto" w:sz="4" w:space="0"/>
            </w:tcBorders>
            <w:shd w:val="clear" w:color="auto" w:fill="FFFFFF"/>
            <w:noWrap/>
            <w:vAlign w:val="center"/>
          </w:tcPr>
          <w:p w14:paraId="48E7449D">
            <w:pPr>
              <w:pStyle w:val="59"/>
              <w:spacing w:line="240" w:lineRule="auto"/>
              <w:ind w:left="210" w:leftChars="100" w:firstLine="0"/>
              <w:jc w:val="left"/>
              <w:rPr>
                <w:rFonts w:hint="eastAsia"/>
                <w:color w:val="auto"/>
                <w:sz w:val="21"/>
                <w:szCs w:val="21"/>
                <w:highlight w:val="none"/>
              </w:rPr>
            </w:pPr>
          </w:p>
        </w:tc>
        <w:tc>
          <w:tcPr>
            <w:tcW w:w="3869" w:type="dxa"/>
            <w:tcBorders>
              <w:top w:val="single" w:color="auto" w:sz="4" w:space="0"/>
              <w:left w:val="single" w:color="auto" w:sz="4" w:space="0"/>
            </w:tcBorders>
            <w:shd w:val="clear" w:color="auto" w:fill="FFFFFF"/>
            <w:noWrap/>
            <w:vAlign w:val="center"/>
          </w:tcPr>
          <w:p w14:paraId="3B4C57E9">
            <w:pPr>
              <w:pStyle w:val="59"/>
              <w:spacing w:line="240" w:lineRule="auto"/>
              <w:ind w:left="210" w:leftChars="100" w:firstLine="0"/>
              <w:jc w:val="left"/>
              <w:rPr>
                <w:color w:val="auto"/>
                <w:sz w:val="21"/>
                <w:szCs w:val="21"/>
                <w:highlight w:val="none"/>
              </w:rPr>
            </w:pPr>
          </w:p>
        </w:tc>
        <w:tc>
          <w:tcPr>
            <w:tcW w:w="1042" w:type="dxa"/>
            <w:tcBorders>
              <w:top w:val="single" w:color="auto" w:sz="4" w:space="0"/>
              <w:left w:val="single" w:color="auto" w:sz="4" w:space="0"/>
              <w:right w:val="single" w:color="auto" w:sz="4" w:space="0"/>
            </w:tcBorders>
            <w:shd w:val="clear" w:color="auto" w:fill="FFFFFF"/>
            <w:noWrap/>
            <w:vAlign w:val="top"/>
          </w:tcPr>
          <w:p w14:paraId="5B9FE2ED">
            <w:pPr>
              <w:rPr>
                <w:color w:val="auto"/>
                <w:szCs w:val="21"/>
                <w:highlight w:val="none"/>
              </w:rPr>
            </w:pPr>
          </w:p>
        </w:tc>
        <w:tc>
          <w:tcPr>
            <w:tcW w:w="1311" w:type="dxa"/>
            <w:tcBorders>
              <w:top w:val="single" w:color="auto" w:sz="4" w:space="0"/>
              <w:left w:val="single" w:color="auto" w:sz="4" w:space="0"/>
              <w:right w:val="single" w:color="auto" w:sz="4" w:space="0"/>
            </w:tcBorders>
            <w:shd w:val="clear" w:color="auto" w:fill="FFFFFF"/>
            <w:noWrap/>
            <w:vAlign w:val="top"/>
          </w:tcPr>
          <w:p w14:paraId="6A61E09E">
            <w:pPr>
              <w:rPr>
                <w:color w:val="auto"/>
                <w:szCs w:val="21"/>
                <w:highlight w:val="none"/>
              </w:rPr>
            </w:pPr>
          </w:p>
        </w:tc>
      </w:tr>
      <w:tr w14:paraId="489EC919">
        <w:tblPrEx>
          <w:tblCellMar>
            <w:top w:w="0" w:type="dxa"/>
            <w:left w:w="10" w:type="dxa"/>
            <w:bottom w:w="0" w:type="dxa"/>
            <w:right w:w="10" w:type="dxa"/>
          </w:tblCellMar>
        </w:tblPrEx>
        <w:trPr>
          <w:trHeight w:val="773" w:hRule="exact"/>
          <w:jc w:val="center"/>
        </w:trPr>
        <w:tc>
          <w:tcPr>
            <w:tcW w:w="733" w:type="dxa"/>
            <w:tcBorders>
              <w:top w:val="single" w:color="auto" w:sz="4" w:space="0"/>
              <w:left w:val="single" w:color="auto" w:sz="4" w:space="0"/>
            </w:tcBorders>
            <w:shd w:val="clear" w:color="auto" w:fill="FFFFFF"/>
            <w:noWrap/>
            <w:vAlign w:val="center"/>
          </w:tcPr>
          <w:p w14:paraId="499CDF3D">
            <w:pPr>
              <w:pStyle w:val="59"/>
              <w:spacing w:line="240" w:lineRule="auto"/>
              <w:ind w:firstLine="260"/>
              <w:jc w:val="left"/>
              <w:rPr>
                <w:color w:val="auto"/>
                <w:sz w:val="21"/>
                <w:szCs w:val="21"/>
                <w:highlight w:val="none"/>
              </w:rPr>
            </w:pPr>
          </w:p>
        </w:tc>
        <w:tc>
          <w:tcPr>
            <w:tcW w:w="2256" w:type="dxa"/>
            <w:tcBorders>
              <w:top w:val="single" w:color="auto" w:sz="4" w:space="0"/>
              <w:left w:val="single" w:color="auto" w:sz="4" w:space="0"/>
            </w:tcBorders>
            <w:shd w:val="clear" w:color="auto" w:fill="FFFFFF"/>
            <w:noWrap/>
            <w:vAlign w:val="center"/>
          </w:tcPr>
          <w:p w14:paraId="12EA4B5A">
            <w:pPr>
              <w:pStyle w:val="59"/>
              <w:spacing w:line="240" w:lineRule="auto"/>
              <w:ind w:left="210" w:leftChars="100" w:firstLine="0"/>
              <w:jc w:val="center"/>
              <w:rPr>
                <w:rFonts w:hint="eastAsia"/>
                <w:color w:val="auto"/>
                <w:sz w:val="18"/>
                <w:szCs w:val="18"/>
                <w:highlight w:val="none"/>
              </w:rPr>
            </w:pPr>
          </w:p>
        </w:tc>
        <w:tc>
          <w:tcPr>
            <w:tcW w:w="3869" w:type="dxa"/>
            <w:tcBorders>
              <w:top w:val="single" w:color="auto" w:sz="4" w:space="0"/>
              <w:left w:val="single" w:color="auto" w:sz="4" w:space="0"/>
            </w:tcBorders>
            <w:shd w:val="clear" w:color="auto" w:fill="FFFFFF"/>
            <w:noWrap/>
            <w:vAlign w:val="center"/>
          </w:tcPr>
          <w:p w14:paraId="5267E806">
            <w:pPr>
              <w:pStyle w:val="59"/>
              <w:spacing w:line="240" w:lineRule="auto"/>
              <w:ind w:left="210" w:leftChars="100" w:firstLine="0"/>
              <w:jc w:val="both"/>
              <w:rPr>
                <w:color w:val="auto"/>
                <w:sz w:val="18"/>
                <w:szCs w:val="18"/>
                <w:highlight w:val="none"/>
              </w:rPr>
            </w:pPr>
          </w:p>
        </w:tc>
        <w:tc>
          <w:tcPr>
            <w:tcW w:w="1042" w:type="dxa"/>
            <w:tcBorders>
              <w:top w:val="single" w:color="auto" w:sz="4" w:space="0"/>
              <w:left w:val="single" w:color="auto" w:sz="4" w:space="0"/>
              <w:right w:val="single" w:color="auto" w:sz="4" w:space="0"/>
            </w:tcBorders>
            <w:shd w:val="clear" w:color="auto" w:fill="FFFFFF"/>
            <w:noWrap/>
            <w:vAlign w:val="top"/>
          </w:tcPr>
          <w:p w14:paraId="5A4F6146">
            <w:pPr>
              <w:rPr>
                <w:color w:val="auto"/>
                <w:szCs w:val="21"/>
                <w:highlight w:val="none"/>
              </w:rPr>
            </w:pPr>
          </w:p>
        </w:tc>
        <w:tc>
          <w:tcPr>
            <w:tcW w:w="1311" w:type="dxa"/>
            <w:tcBorders>
              <w:top w:val="single" w:color="auto" w:sz="4" w:space="0"/>
              <w:left w:val="single" w:color="auto" w:sz="4" w:space="0"/>
              <w:right w:val="single" w:color="auto" w:sz="4" w:space="0"/>
            </w:tcBorders>
            <w:shd w:val="clear" w:color="auto" w:fill="FFFFFF"/>
            <w:noWrap/>
            <w:vAlign w:val="top"/>
          </w:tcPr>
          <w:p w14:paraId="2FC57C77">
            <w:pPr>
              <w:rPr>
                <w:color w:val="auto"/>
                <w:szCs w:val="21"/>
                <w:highlight w:val="none"/>
              </w:rPr>
            </w:pPr>
          </w:p>
        </w:tc>
      </w:tr>
      <w:tr w14:paraId="030C56C1">
        <w:tblPrEx>
          <w:tblCellMar>
            <w:top w:w="0" w:type="dxa"/>
            <w:left w:w="10" w:type="dxa"/>
            <w:bottom w:w="0" w:type="dxa"/>
            <w:right w:w="10" w:type="dxa"/>
          </w:tblCellMar>
        </w:tblPrEx>
        <w:trPr>
          <w:trHeight w:val="767" w:hRule="exact"/>
          <w:jc w:val="center"/>
        </w:trPr>
        <w:tc>
          <w:tcPr>
            <w:tcW w:w="733" w:type="dxa"/>
            <w:tcBorders>
              <w:top w:val="single" w:color="auto" w:sz="4" w:space="0"/>
              <w:left w:val="single" w:color="auto" w:sz="4" w:space="0"/>
            </w:tcBorders>
            <w:shd w:val="clear" w:color="auto" w:fill="FFFFFF"/>
            <w:noWrap/>
            <w:vAlign w:val="center"/>
          </w:tcPr>
          <w:p w14:paraId="2A075324">
            <w:pPr>
              <w:pStyle w:val="59"/>
              <w:spacing w:line="240" w:lineRule="auto"/>
              <w:ind w:firstLine="260"/>
              <w:jc w:val="left"/>
              <w:rPr>
                <w:color w:val="auto"/>
                <w:sz w:val="21"/>
                <w:szCs w:val="21"/>
                <w:highlight w:val="none"/>
              </w:rPr>
            </w:pPr>
          </w:p>
        </w:tc>
        <w:tc>
          <w:tcPr>
            <w:tcW w:w="2256" w:type="dxa"/>
            <w:tcBorders>
              <w:top w:val="single" w:color="auto" w:sz="4" w:space="0"/>
              <w:left w:val="single" w:color="auto" w:sz="4" w:space="0"/>
            </w:tcBorders>
            <w:shd w:val="clear" w:color="auto" w:fill="FFFFFF"/>
            <w:noWrap/>
            <w:vAlign w:val="center"/>
          </w:tcPr>
          <w:p w14:paraId="555B86DC">
            <w:pPr>
              <w:pStyle w:val="59"/>
              <w:spacing w:line="240" w:lineRule="auto"/>
              <w:ind w:left="210" w:leftChars="100" w:firstLine="0"/>
              <w:jc w:val="center"/>
              <w:rPr>
                <w:rFonts w:hint="eastAsia"/>
                <w:color w:val="auto"/>
                <w:sz w:val="18"/>
                <w:szCs w:val="18"/>
                <w:highlight w:val="none"/>
              </w:rPr>
            </w:pPr>
          </w:p>
        </w:tc>
        <w:tc>
          <w:tcPr>
            <w:tcW w:w="3869" w:type="dxa"/>
            <w:tcBorders>
              <w:top w:val="single" w:color="auto" w:sz="4" w:space="0"/>
              <w:left w:val="single" w:color="auto" w:sz="4" w:space="0"/>
            </w:tcBorders>
            <w:shd w:val="clear" w:color="auto" w:fill="FFFFFF"/>
            <w:noWrap/>
            <w:vAlign w:val="center"/>
          </w:tcPr>
          <w:p w14:paraId="70DC4199">
            <w:pPr>
              <w:pStyle w:val="59"/>
              <w:spacing w:line="240" w:lineRule="auto"/>
              <w:ind w:left="210" w:leftChars="100" w:firstLine="0"/>
              <w:jc w:val="both"/>
              <w:rPr>
                <w:color w:val="auto"/>
                <w:sz w:val="18"/>
                <w:szCs w:val="18"/>
                <w:highlight w:val="none"/>
              </w:rPr>
            </w:pPr>
          </w:p>
        </w:tc>
        <w:tc>
          <w:tcPr>
            <w:tcW w:w="1042" w:type="dxa"/>
            <w:tcBorders>
              <w:top w:val="single" w:color="auto" w:sz="4" w:space="0"/>
              <w:left w:val="single" w:color="auto" w:sz="4" w:space="0"/>
              <w:right w:val="single" w:color="auto" w:sz="4" w:space="0"/>
            </w:tcBorders>
            <w:shd w:val="clear" w:color="auto" w:fill="FFFFFF"/>
            <w:noWrap/>
            <w:vAlign w:val="top"/>
          </w:tcPr>
          <w:p w14:paraId="35FD3FFB">
            <w:pPr>
              <w:rPr>
                <w:color w:val="auto"/>
                <w:szCs w:val="21"/>
                <w:highlight w:val="none"/>
              </w:rPr>
            </w:pPr>
          </w:p>
        </w:tc>
        <w:tc>
          <w:tcPr>
            <w:tcW w:w="1311" w:type="dxa"/>
            <w:tcBorders>
              <w:top w:val="single" w:color="auto" w:sz="4" w:space="0"/>
              <w:left w:val="single" w:color="auto" w:sz="4" w:space="0"/>
              <w:right w:val="single" w:color="auto" w:sz="4" w:space="0"/>
            </w:tcBorders>
            <w:shd w:val="clear" w:color="auto" w:fill="FFFFFF"/>
            <w:noWrap/>
            <w:vAlign w:val="top"/>
          </w:tcPr>
          <w:p w14:paraId="7647C5EA">
            <w:pPr>
              <w:rPr>
                <w:color w:val="auto"/>
                <w:szCs w:val="21"/>
                <w:highlight w:val="none"/>
              </w:rPr>
            </w:pPr>
          </w:p>
        </w:tc>
      </w:tr>
      <w:tr w14:paraId="1681AF43">
        <w:tblPrEx>
          <w:tblCellMar>
            <w:top w:w="0" w:type="dxa"/>
            <w:left w:w="10" w:type="dxa"/>
            <w:bottom w:w="0" w:type="dxa"/>
            <w:right w:w="10" w:type="dxa"/>
          </w:tblCellMar>
        </w:tblPrEx>
        <w:trPr>
          <w:trHeight w:val="873" w:hRule="exact"/>
          <w:jc w:val="center"/>
        </w:trPr>
        <w:tc>
          <w:tcPr>
            <w:tcW w:w="733" w:type="dxa"/>
            <w:tcBorders>
              <w:top w:val="single" w:color="auto" w:sz="4" w:space="0"/>
              <w:left w:val="single" w:color="auto" w:sz="4" w:space="0"/>
              <w:bottom w:val="single" w:color="auto" w:sz="4" w:space="0"/>
            </w:tcBorders>
            <w:shd w:val="clear" w:color="auto" w:fill="FFFFFF"/>
            <w:noWrap/>
            <w:vAlign w:val="center"/>
          </w:tcPr>
          <w:p w14:paraId="02513C29">
            <w:pPr>
              <w:pStyle w:val="59"/>
              <w:spacing w:line="240" w:lineRule="auto"/>
              <w:ind w:firstLine="0"/>
              <w:jc w:val="center"/>
              <w:rPr>
                <w:color w:val="auto"/>
                <w:sz w:val="21"/>
                <w:szCs w:val="21"/>
                <w:highlight w:val="none"/>
                <w:lang w:val="en-US"/>
              </w:rPr>
            </w:pPr>
            <w:r>
              <w:rPr>
                <w:rFonts w:hint="eastAsia"/>
                <w:color w:val="auto"/>
                <w:sz w:val="21"/>
                <w:szCs w:val="21"/>
                <w:highlight w:val="none"/>
                <w:lang w:val="en-US"/>
              </w:rPr>
              <w:t>...</w:t>
            </w:r>
          </w:p>
        </w:tc>
        <w:tc>
          <w:tcPr>
            <w:tcW w:w="2256" w:type="dxa"/>
            <w:tcBorders>
              <w:top w:val="single" w:color="auto" w:sz="4" w:space="0"/>
              <w:left w:val="single" w:color="auto" w:sz="4" w:space="0"/>
              <w:bottom w:val="single" w:color="auto" w:sz="4" w:space="0"/>
            </w:tcBorders>
            <w:shd w:val="clear" w:color="auto" w:fill="FFFFFF"/>
            <w:noWrap/>
            <w:vAlign w:val="top"/>
          </w:tcPr>
          <w:p w14:paraId="29155367">
            <w:pPr>
              <w:rPr>
                <w:color w:val="auto"/>
                <w:szCs w:val="21"/>
                <w:highlight w:val="none"/>
              </w:rPr>
            </w:pPr>
          </w:p>
        </w:tc>
        <w:tc>
          <w:tcPr>
            <w:tcW w:w="3869" w:type="dxa"/>
            <w:tcBorders>
              <w:top w:val="single" w:color="auto" w:sz="4" w:space="0"/>
              <w:left w:val="single" w:color="auto" w:sz="4" w:space="0"/>
              <w:bottom w:val="single" w:color="auto" w:sz="4" w:space="0"/>
            </w:tcBorders>
            <w:shd w:val="clear" w:color="auto" w:fill="FFFFFF"/>
            <w:noWrap/>
            <w:vAlign w:val="top"/>
          </w:tcPr>
          <w:p w14:paraId="3E4EAE0F">
            <w:pPr>
              <w:ind w:left="210" w:leftChars="100"/>
              <w:rPr>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shd w:val="clear" w:color="auto" w:fill="FFFFFF"/>
            <w:noWrap/>
            <w:vAlign w:val="top"/>
          </w:tcPr>
          <w:p w14:paraId="0FF5C959">
            <w:pPr>
              <w:rPr>
                <w:color w:val="auto"/>
                <w:szCs w:val="21"/>
                <w:highlight w:val="none"/>
              </w:rPr>
            </w:pPr>
          </w:p>
        </w:tc>
        <w:tc>
          <w:tcPr>
            <w:tcW w:w="1311" w:type="dxa"/>
            <w:tcBorders>
              <w:top w:val="single" w:color="auto" w:sz="4" w:space="0"/>
              <w:left w:val="single" w:color="auto" w:sz="4" w:space="0"/>
              <w:bottom w:val="single" w:color="auto" w:sz="4" w:space="0"/>
              <w:right w:val="single" w:color="auto" w:sz="4" w:space="0"/>
            </w:tcBorders>
            <w:shd w:val="clear" w:color="auto" w:fill="FFFFFF"/>
            <w:noWrap/>
            <w:vAlign w:val="top"/>
          </w:tcPr>
          <w:p w14:paraId="0BB6B9A7">
            <w:pPr>
              <w:rPr>
                <w:color w:val="auto"/>
                <w:szCs w:val="21"/>
                <w:highlight w:val="none"/>
              </w:rPr>
            </w:pPr>
          </w:p>
        </w:tc>
      </w:tr>
    </w:tbl>
    <w:p w14:paraId="71DFFEC6">
      <w:pPr>
        <w:adjustRightInd w:val="0"/>
        <w:snapToGrid w:val="0"/>
        <w:spacing w:line="300" w:lineRule="auto"/>
        <w:rPr>
          <w:rFonts w:hint="eastAsia" w:ascii="宋体" w:hAnsi="宋体"/>
          <w:color w:val="auto"/>
          <w:szCs w:val="21"/>
          <w:highlight w:val="none"/>
        </w:rPr>
      </w:pPr>
    </w:p>
    <w:p w14:paraId="5BEFC555">
      <w:pPr>
        <w:pStyle w:val="12"/>
        <w:spacing w:line="500" w:lineRule="exact"/>
        <w:ind w:firstLine="0"/>
        <w:rPr>
          <w:rFonts w:hint="eastAsia" w:hAnsi="宋体"/>
          <w:color w:val="auto"/>
          <w:sz w:val="21"/>
          <w:szCs w:val="21"/>
          <w:highlight w:val="none"/>
        </w:rPr>
      </w:pPr>
      <w:r>
        <w:rPr>
          <w:rFonts w:hint="eastAsia" w:hAnsi="宋体"/>
          <w:color w:val="auto"/>
          <w:sz w:val="21"/>
          <w:szCs w:val="21"/>
          <w:highlight w:val="none"/>
        </w:rPr>
        <w:t>说明：应对照</w:t>
      </w:r>
      <w:r>
        <w:rPr>
          <w:rFonts w:hint="eastAsia" w:hAnsi="宋体"/>
          <w:color w:val="auto"/>
          <w:sz w:val="21"/>
          <w:szCs w:val="21"/>
          <w:highlight w:val="none"/>
          <w:lang w:eastAsia="zh-CN"/>
        </w:rPr>
        <w:t>招标</w:t>
      </w:r>
      <w:r>
        <w:rPr>
          <w:rFonts w:hint="eastAsia" w:hAnsi="宋体"/>
          <w:color w:val="auto"/>
          <w:sz w:val="21"/>
          <w:szCs w:val="21"/>
          <w:highlight w:val="none"/>
        </w:rPr>
        <w:t>文件“第</w:t>
      </w:r>
      <w:r>
        <w:rPr>
          <w:rFonts w:hint="eastAsia" w:hAnsi="宋体"/>
          <w:color w:val="auto"/>
          <w:sz w:val="21"/>
          <w:szCs w:val="21"/>
          <w:highlight w:val="none"/>
          <w:lang w:val="en-US" w:eastAsia="zh-CN"/>
        </w:rPr>
        <w:t>二</w:t>
      </w:r>
      <w:r>
        <w:rPr>
          <w:rFonts w:hint="eastAsia" w:hAnsi="宋体"/>
          <w:color w:val="auto"/>
          <w:sz w:val="21"/>
          <w:szCs w:val="21"/>
          <w:highlight w:val="none"/>
        </w:rPr>
        <w:t xml:space="preserve">章 </w:t>
      </w:r>
      <w:r>
        <w:rPr>
          <w:rFonts w:hint="eastAsia" w:hAnsi="宋体" w:cs="宋体"/>
          <w:color w:val="auto"/>
          <w:kern w:val="0"/>
          <w:sz w:val="21"/>
          <w:szCs w:val="21"/>
          <w:highlight w:val="none"/>
        </w:rPr>
        <w:t>采购需求</w:t>
      </w:r>
      <w:r>
        <w:rPr>
          <w:rFonts w:hint="eastAsia" w:hAnsi="宋体"/>
          <w:color w:val="auto"/>
          <w:sz w:val="21"/>
          <w:szCs w:val="21"/>
          <w:highlight w:val="none"/>
        </w:rPr>
        <w:t>”，逐条说明</w:t>
      </w:r>
      <w:r>
        <w:rPr>
          <w:rFonts w:hint="eastAsia" w:hAnsi="宋体"/>
          <w:color w:val="auto"/>
          <w:sz w:val="21"/>
          <w:szCs w:val="21"/>
          <w:highlight w:val="none"/>
          <w:lang w:val="en-US" w:eastAsia="zh-CN"/>
        </w:rPr>
        <w:t>服务</w:t>
      </w:r>
      <w:r>
        <w:rPr>
          <w:rFonts w:hint="eastAsia" w:hAnsi="宋体"/>
          <w:color w:val="auto"/>
          <w:sz w:val="21"/>
          <w:szCs w:val="21"/>
          <w:highlight w:val="none"/>
        </w:rPr>
        <w:t>内对</w:t>
      </w:r>
      <w:r>
        <w:rPr>
          <w:rFonts w:hint="eastAsia" w:hAnsi="宋体"/>
          <w:color w:val="auto"/>
          <w:sz w:val="21"/>
          <w:szCs w:val="21"/>
          <w:highlight w:val="none"/>
          <w:lang w:eastAsia="zh-CN"/>
        </w:rPr>
        <w:t>招标</w:t>
      </w:r>
      <w:r>
        <w:rPr>
          <w:rFonts w:hint="eastAsia" w:hAnsi="宋体"/>
          <w:color w:val="auto"/>
          <w:sz w:val="21"/>
          <w:szCs w:val="21"/>
          <w:highlight w:val="none"/>
        </w:rPr>
        <w:t>文件的</w:t>
      </w:r>
      <w:r>
        <w:rPr>
          <w:rFonts w:hint="eastAsia" w:hAnsi="宋体"/>
          <w:color w:val="auto"/>
          <w:sz w:val="21"/>
          <w:szCs w:val="21"/>
          <w:highlight w:val="none"/>
          <w:lang w:val="en-US" w:eastAsia="zh-CN"/>
        </w:rPr>
        <w:t>采购</w:t>
      </w:r>
      <w:r>
        <w:rPr>
          <w:rFonts w:hint="eastAsia" w:hAnsi="宋体"/>
          <w:color w:val="auto"/>
          <w:sz w:val="21"/>
          <w:szCs w:val="21"/>
          <w:highlight w:val="none"/>
        </w:rPr>
        <w:t>需求做出的实质性响应，并申明与技术规格条文的响应和偏离。</w:t>
      </w:r>
    </w:p>
    <w:p w14:paraId="4BC0A598">
      <w:pPr>
        <w:pStyle w:val="14"/>
        <w:spacing w:line="300" w:lineRule="auto"/>
        <w:rPr>
          <w:rFonts w:hint="eastAsia"/>
          <w:szCs w:val="21"/>
          <w:highlight w:val="none"/>
          <w:lang w:val="en-US" w:eastAsia="zh-CN"/>
        </w:rPr>
      </w:pPr>
      <w:r>
        <w:rPr>
          <w:rFonts w:hint="eastAsia"/>
          <w:szCs w:val="21"/>
          <w:highlight w:val="none"/>
          <w:lang w:val="en-US" w:eastAsia="zh-CN"/>
        </w:rPr>
        <w:t xml:space="preserve">              </w:t>
      </w:r>
    </w:p>
    <w:p w14:paraId="09891AEC">
      <w:pPr>
        <w:pStyle w:val="14"/>
        <w:spacing w:line="300" w:lineRule="auto"/>
        <w:ind w:firstLine="1470" w:firstLineChars="700"/>
        <w:rPr>
          <w:rFonts w:hint="default"/>
          <w:szCs w:val="21"/>
          <w:highlight w:val="none"/>
          <w:u w:val="single"/>
          <w:lang w:val="en-US" w:eastAsia="zh-CN"/>
        </w:rPr>
      </w:pPr>
      <w:r>
        <w:rPr>
          <w:rFonts w:hint="eastAsia"/>
          <w:szCs w:val="21"/>
          <w:highlight w:val="none"/>
          <w:lang w:val="en-US" w:eastAsia="zh-CN"/>
        </w:rPr>
        <w:t xml:space="preserve">投标人（公章）：   </w:t>
      </w:r>
      <w:r>
        <w:rPr>
          <w:rFonts w:hint="eastAsia"/>
          <w:szCs w:val="21"/>
          <w:highlight w:val="none"/>
          <w:u w:val="single"/>
          <w:lang w:val="en-US" w:eastAsia="zh-CN"/>
        </w:rPr>
        <w:t xml:space="preserve">                                      </w:t>
      </w:r>
    </w:p>
    <w:p w14:paraId="44374D5F">
      <w:pPr>
        <w:pStyle w:val="14"/>
        <w:spacing w:line="300" w:lineRule="auto"/>
        <w:rPr>
          <w:rFonts w:hint="default"/>
          <w:szCs w:val="21"/>
          <w:highlight w:val="none"/>
          <w:lang w:val="en-US" w:eastAsia="zh-CN"/>
        </w:rPr>
      </w:pPr>
    </w:p>
    <w:p w14:paraId="2C05E69D">
      <w:pPr>
        <w:pStyle w:val="14"/>
        <w:spacing w:line="300" w:lineRule="auto"/>
        <w:ind w:firstLine="1470" w:firstLineChars="700"/>
        <w:rPr>
          <w:rFonts w:hint="eastAsia" w:hAnsi="宋体"/>
          <w:szCs w:val="21"/>
          <w:highlight w:val="none"/>
        </w:rPr>
      </w:pPr>
      <w:r>
        <w:rPr>
          <w:rFonts w:hint="eastAsia" w:hAnsi="宋体"/>
          <w:szCs w:val="21"/>
          <w:highlight w:val="none"/>
        </w:rPr>
        <w:t>法定代表人或法定代表人授权代表签字：</w:t>
      </w:r>
      <w:r>
        <w:rPr>
          <w:rFonts w:hint="eastAsia" w:hAnsi="宋体"/>
          <w:szCs w:val="21"/>
          <w:highlight w:val="none"/>
          <w:u w:val="single"/>
        </w:rPr>
        <w:t xml:space="preserve">    </w:t>
      </w:r>
      <w:r>
        <w:rPr>
          <w:rFonts w:hint="eastAsia"/>
          <w:szCs w:val="21"/>
          <w:highlight w:val="none"/>
          <w:u w:val="single"/>
          <w:lang w:val="en-US" w:eastAsia="zh-CN"/>
        </w:rPr>
        <w:t xml:space="preserve">  </w:t>
      </w:r>
      <w:r>
        <w:rPr>
          <w:rFonts w:hint="eastAsia" w:hAnsi="宋体"/>
          <w:szCs w:val="21"/>
          <w:highlight w:val="none"/>
          <w:u w:val="single"/>
        </w:rPr>
        <w:t xml:space="preserve">            </w:t>
      </w:r>
      <w:r>
        <w:rPr>
          <w:rFonts w:hint="eastAsia" w:hAnsi="宋体"/>
          <w:szCs w:val="21"/>
          <w:highlight w:val="none"/>
        </w:rPr>
        <w:t xml:space="preserve">  </w:t>
      </w:r>
    </w:p>
    <w:p w14:paraId="59FDD651">
      <w:pPr>
        <w:pStyle w:val="14"/>
        <w:spacing w:line="300" w:lineRule="auto"/>
        <w:ind w:firstLine="4183" w:firstLineChars="1992"/>
        <w:rPr>
          <w:rFonts w:hint="eastAsia" w:hAnsi="宋体"/>
          <w:szCs w:val="21"/>
          <w:highlight w:val="none"/>
          <w:u w:val="single"/>
        </w:rPr>
      </w:pPr>
    </w:p>
    <w:p w14:paraId="1BCD9744">
      <w:pPr>
        <w:pStyle w:val="14"/>
        <w:spacing w:line="300" w:lineRule="auto"/>
        <w:ind w:firstLine="4603" w:firstLineChars="2192"/>
        <w:rPr>
          <w:rFonts w:hint="eastAsia" w:hAnsi="宋体"/>
          <w:szCs w:val="21"/>
          <w:highlight w:val="none"/>
          <w:u w:val="single"/>
        </w:rPr>
      </w:pPr>
    </w:p>
    <w:p w14:paraId="2B92E071">
      <w:pPr>
        <w:pStyle w:val="14"/>
        <w:spacing w:line="300" w:lineRule="auto"/>
        <w:ind w:firstLine="4603" w:firstLineChars="2192"/>
        <w:rPr>
          <w:rFonts w:hint="eastAsia" w:hAnsi="宋体"/>
          <w:szCs w:val="21"/>
          <w:highlight w:val="none"/>
          <w:u w:val="single"/>
        </w:rPr>
      </w:pP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szCs w:val="21"/>
          <w:highlight w:val="none"/>
          <w:u w:val="single"/>
          <w:lang w:val="en-US" w:eastAsia="zh-CN"/>
        </w:rPr>
        <w:t xml:space="preserve"> </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szCs w:val="21"/>
          <w:highlight w:val="none"/>
          <w:u w:val="single"/>
          <w:lang w:val="en-US" w:eastAsia="zh-CN"/>
        </w:rPr>
        <w:t xml:space="preserve">   </w:t>
      </w:r>
      <w:r>
        <w:rPr>
          <w:rFonts w:hint="eastAsia" w:hAnsi="宋体"/>
          <w:szCs w:val="21"/>
          <w:highlight w:val="none"/>
          <w:u w:val="single"/>
        </w:rPr>
        <w:t xml:space="preserve"> </w:t>
      </w:r>
      <w:r>
        <w:rPr>
          <w:rFonts w:hint="eastAsia" w:hAnsi="宋体"/>
          <w:szCs w:val="21"/>
          <w:highlight w:val="none"/>
        </w:rPr>
        <w:t>日</w:t>
      </w:r>
    </w:p>
    <w:p w14:paraId="5340C2F9">
      <w:pPr>
        <w:pageBreakBefore/>
        <w:spacing w:line="300" w:lineRule="auto"/>
        <w:rPr>
          <w:rFonts w:hint="eastAsia" w:ascii="宋体" w:hAnsi="宋体" w:eastAsia="宋体"/>
          <w:sz w:val="28"/>
          <w:szCs w:val="28"/>
          <w:highlight w:val="none"/>
          <w:lang w:eastAsia="zh-CN"/>
        </w:rPr>
      </w:pPr>
      <w:r>
        <w:rPr>
          <w:rFonts w:hint="eastAsia" w:ascii="宋体" w:hAnsi="宋体"/>
          <w:sz w:val="28"/>
          <w:szCs w:val="28"/>
          <w:highlight w:val="none"/>
        </w:rPr>
        <w:t>附件</w:t>
      </w:r>
      <w:r>
        <w:rPr>
          <w:rFonts w:hint="eastAsia" w:ascii="宋体" w:hAnsi="宋体"/>
          <w:sz w:val="28"/>
          <w:szCs w:val="28"/>
          <w:highlight w:val="none"/>
          <w:lang w:val="en-US" w:eastAsia="zh-CN"/>
        </w:rPr>
        <w:t>三</w:t>
      </w:r>
    </w:p>
    <w:p w14:paraId="46C3E786">
      <w:pPr>
        <w:adjustRightInd w:val="0"/>
        <w:snapToGrid w:val="0"/>
        <w:spacing w:line="300" w:lineRule="auto"/>
        <w:jc w:val="center"/>
        <w:rPr>
          <w:rFonts w:hint="eastAsia" w:ascii="宋体" w:hAnsi="宋体"/>
          <w:b/>
          <w:sz w:val="32"/>
          <w:szCs w:val="32"/>
          <w:highlight w:val="none"/>
        </w:rPr>
      </w:pPr>
      <w:r>
        <w:rPr>
          <w:rFonts w:hint="eastAsia" w:ascii="宋体" w:hAnsi="宋体"/>
          <w:b/>
          <w:sz w:val="32"/>
          <w:szCs w:val="32"/>
          <w:highlight w:val="none"/>
        </w:rPr>
        <w:t>法定代表人授权书</w:t>
      </w:r>
    </w:p>
    <w:p w14:paraId="2A212D46">
      <w:pPr>
        <w:adjustRightInd w:val="0"/>
        <w:snapToGrid w:val="0"/>
        <w:spacing w:line="520" w:lineRule="exact"/>
        <w:rPr>
          <w:rFonts w:hint="eastAsia" w:ascii="宋体" w:hAnsi="宋体"/>
          <w:sz w:val="28"/>
          <w:szCs w:val="28"/>
          <w:highlight w:val="none"/>
        </w:rPr>
      </w:pPr>
    </w:p>
    <w:p w14:paraId="5B9708C1">
      <w:pPr>
        <w:spacing w:line="520" w:lineRule="exact"/>
        <w:rPr>
          <w:rFonts w:hint="eastAsia" w:ascii="宋体" w:hAnsi="宋体"/>
          <w:color w:val="auto"/>
          <w:szCs w:val="21"/>
          <w:highlight w:val="none"/>
          <w:u w:val="single"/>
        </w:rPr>
      </w:pPr>
      <w:r>
        <w:rPr>
          <w:rFonts w:hint="eastAsia" w:ascii="宋体" w:hAnsi="宋体"/>
          <w:color w:val="auto"/>
          <w:szCs w:val="21"/>
          <w:highlight w:val="none"/>
          <w:u w:val="single"/>
          <w:lang w:eastAsia="zh-CN"/>
        </w:rPr>
        <w:t>桂林技师学院</w:t>
      </w:r>
      <w:r>
        <w:rPr>
          <w:rFonts w:hint="eastAsia" w:ascii="宋体" w:hAnsi="宋体"/>
          <w:color w:val="auto"/>
          <w:szCs w:val="21"/>
          <w:highlight w:val="none"/>
          <w:u w:val="single"/>
        </w:rPr>
        <w:t>：</w:t>
      </w:r>
    </w:p>
    <w:p w14:paraId="4BF804DD">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（项目名称）</w:t>
      </w:r>
      <w:r>
        <w:rPr>
          <w:rFonts w:hint="eastAsia" w:ascii="宋体" w:hAnsi="宋体"/>
          <w:color w:val="auto"/>
          <w:szCs w:val="21"/>
          <w:highlight w:val="none"/>
        </w:rPr>
        <w:t>采购活动的代表人，全权代表我公司处理在该项目活动中的一切事宜。代理期限从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3DA771D5">
      <w:pPr>
        <w:spacing w:line="520" w:lineRule="exact"/>
        <w:rPr>
          <w:rFonts w:hint="eastAsia" w:ascii="宋体" w:hAnsi="宋体"/>
          <w:color w:val="auto"/>
          <w:szCs w:val="21"/>
          <w:highlight w:val="none"/>
        </w:rPr>
      </w:pPr>
    </w:p>
    <w:p w14:paraId="6A3723BD">
      <w:pPr>
        <w:spacing w:line="520" w:lineRule="exact"/>
        <w:rPr>
          <w:rFonts w:hint="eastAsia" w:ascii="宋体" w:hAnsi="宋体"/>
          <w:color w:val="auto"/>
          <w:szCs w:val="21"/>
          <w:highlight w:val="none"/>
        </w:rPr>
      </w:pPr>
      <w:r>
        <w:rPr>
          <w:rFonts w:hint="eastAsia" w:ascii="宋体" w:hAnsi="宋体"/>
          <w:color w:val="auto"/>
          <w:szCs w:val="21"/>
          <w:highlight w:val="none"/>
        </w:rPr>
        <w:t>授权单位（签章）：</w:t>
      </w:r>
      <w:r>
        <w:rPr>
          <w:rFonts w:hint="eastAsia" w:ascii="宋体" w:hAnsi="宋体"/>
          <w:color w:val="auto"/>
          <w:szCs w:val="21"/>
          <w:highlight w:val="none"/>
          <w:u w:val="single"/>
        </w:rPr>
        <w:t xml:space="preserve">               </w:t>
      </w:r>
    </w:p>
    <w:p w14:paraId="2A1DD06F">
      <w:pP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5BA6F78A">
      <w:pP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F32D947">
      <w:pPr>
        <w:spacing w:line="520" w:lineRule="exact"/>
        <w:rPr>
          <w:rFonts w:hint="eastAsia" w:ascii="宋体" w:hAnsi="宋体"/>
          <w:color w:val="auto"/>
          <w:szCs w:val="21"/>
          <w:highlight w:val="none"/>
        </w:rPr>
      </w:pPr>
    </w:p>
    <w:p w14:paraId="0A5E41BB">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附：代理人工作单位：</w:t>
      </w:r>
      <w:r>
        <w:rPr>
          <w:rFonts w:hint="eastAsia" w:ascii="宋体" w:hAnsi="宋体"/>
          <w:color w:val="auto"/>
          <w:szCs w:val="21"/>
          <w:highlight w:val="none"/>
          <w:u w:val="single"/>
        </w:rPr>
        <w:t xml:space="preserve">                     </w:t>
      </w:r>
    </w:p>
    <w:p w14:paraId="709DA446">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160F349B">
      <w:pP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0E5B4C24">
      <w:pPr>
        <w:adjustRightInd w:val="0"/>
        <w:snapToGrid w:val="0"/>
        <w:spacing w:line="520" w:lineRule="exact"/>
        <w:ind w:firstLine="420" w:firstLineChars="200"/>
        <w:rPr>
          <w:rFonts w:hint="eastAsia" w:ascii="宋体" w:hAnsi="宋体"/>
          <w:color w:val="auto"/>
          <w:szCs w:val="21"/>
          <w:highlight w:val="none"/>
          <w:u w:val="singl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14:paraId="3DB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8517" w:type="dxa"/>
            <w:noWrap w:val="0"/>
            <w:vAlign w:val="top"/>
          </w:tcPr>
          <w:p w14:paraId="1DC814C3">
            <w:pPr>
              <w:spacing w:line="300" w:lineRule="auto"/>
              <w:rPr>
                <w:rFonts w:hint="eastAsia" w:ascii="宋体" w:hAnsi="宋体"/>
                <w:color w:val="auto"/>
                <w:szCs w:val="21"/>
                <w:highlight w:val="none"/>
              </w:rPr>
            </w:pPr>
            <w:r>
              <w:rPr>
                <w:rFonts w:hint="eastAsia" w:ascii="宋体" w:hAnsi="宋体"/>
                <w:color w:val="auto"/>
                <w:szCs w:val="21"/>
                <w:highlight w:val="none"/>
              </w:rPr>
              <w:t>粘贴法定代表人及被授权人身份证（复印件）</w:t>
            </w:r>
          </w:p>
        </w:tc>
      </w:tr>
    </w:tbl>
    <w:p w14:paraId="762635D8">
      <w:pPr>
        <w:autoSpaceDE w:val="0"/>
        <w:autoSpaceDN w:val="0"/>
        <w:spacing w:line="300" w:lineRule="auto"/>
        <w:ind w:left="480" w:hanging="480"/>
        <w:rPr>
          <w:rFonts w:hint="eastAsia" w:ascii="宋体" w:hAnsi="宋体"/>
          <w:sz w:val="28"/>
          <w:szCs w:val="28"/>
          <w:highlight w:val="none"/>
        </w:rPr>
      </w:pPr>
    </w:p>
    <w:p w14:paraId="22850A25">
      <w:pPr>
        <w:rPr>
          <w:rFonts w:hint="eastAsia"/>
          <w:b/>
          <w:sz w:val="30"/>
          <w:szCs w:val="30"/>
          <w:highlight w:val="none"/>
          <w:lang w:val="en-US" w:eastAsia="zh-CN"/>
        </w:rPr>
      </w:pPr>
      <w:r>
        <w:rPr>
          <w:rFonts w:hint="eastAsia"/>
          <w:b/>
          <w:sz w:val="30"/>
          <w:szCs w:val="30"/>
          <w:highlight w:val="none"/>
          <w:lang w:val="en-US" w:eastAsia="zh-CN"/>
        </w:rPr>
        <w:br w:type="page"/>
      </w:r>
    </w:p>
    <w:p w14:paraId="7BF5B05E">
      <w:pPr>
        <w:pStyle w:val="14"/>
        <w:numPr>
          <w:ilvl w:val="0"/>
          <w:numId w:val="0"/>
        </w:numPr>
        <w:jc w:val="center"/>
        <w:rPr>
          <w:rFonts w:hint="eastAsia"/>
          <w:b/>
          <w:sz w:val="30"/>
          <w:szCs w:val="30"/>
          <w:highlight w:val="none"/>
          <w:lang w:val="en-US" w:eastAsia="zh-CN"/>
        </w:rPr>
        <w:sectPr>
          <w:pgSz w:w="11906" w:h="16838"/>
          <w:pgMar w:top="1418" w:right="1286" w:bottom="1418" w:left="1418" w:header="851" w:footer="992" w:gutter="0"/>
          <w:pgNumType w:fmt="decimal"/>
          <w:cols w:space="720" w:num="1"/>
          <w:titlePg/>
        </w:sectPr>
      </w:pPr>
    </w:p>
    <w:p w14:paraId="0DD534EA">
      <w:pPr>
        <w:pageBreakBefore/>
        <w:spacing w:line="300" w:lineRule="auto"/>
        <w:rPr>
          <w:rFonts w:hint="eastAsia" w:ascii="宋体" w:hAnsi="宋体" w:cs="Times New Roman"/>
          <w:sz w:val="28"/>
          <w:szCs w:val="28"/>
          <w:highlight w:val="none"/>
          <w:lang w:eastAsia="zh-CN"/>
        </w:rPr>
      </w:pPr>
      <w:r>
        <w:rPr>
          <w:rFonts w:hint="eastAsia" w:ascii="宋体" w:hAnsi="宋体" w:cs="Times New Roman"/>
          <w:sz w:val="28"/>
          <w:szCs w:val="28"/>
          <w:highlight w:val="none"/>
        </w:rPr>
        <w:t>附件</w:t>
      </w:r>
      <w:r>
        <w:rPr>
          <w:rFonts w:hint="eastAsia" w:ascii="宋体" w:hAnsi="宋体" w:cs="Times New Roman"/>
          <w:sz w:val="28"/>
          <w:szCs w:val="28"/>
          <w:highlight w:val="none"/>
          <w:lang w:eastAsia="zh-CN"/>
        </w:rPr>
        <w:t>四</w:t>
      </w:r>
    </w:p>
    <w:p w14:paraId="798DFE37">
      <w:pPr>
        <w:tabs>
          <w:tab w:val="left" w:pos="1305"/>
        </w:tabs>
        <w:spacing w:line="400" w:lineRule="exact"/>
        <w:rPr>
          <w:rFonts w:hint="eastAsia" w:ascii="宋体" w:hAnsi="宋体"/>
          <w:b/>
          <w:sz w:val="24"/>
          <w:highlight w:val="none"/>
        </w:rPr>
      </w:pPr>
    </w:p>
    <w:p w14:paraId="37AB9470">
      <w:pPr>
        <w:tabs>
          <w:tab w:val="left" w:pos="1305"/>
        </w:tabs>
        <w:spacing w:line="360" w:lineRule="auto"/>
        <w:jc w:val="center"/>
        <w:rPr>
          <w:rFonts w:ascii="宋体" w:hAnsi="宋体"/>
          <w:b/>
          <w:sz w:val="32"/>
          <w:szCs w:val="32"/>
          <w:highlight w:val="none"/>
        </w:rPr>
      </w:pPr>
      <w:r>
        <w:rPr>
          <w:rFonts w:hint="eastAsia" w:ascii="宋体" w:hAnsi="宋体"/>
          <w:b/>
          <w:sz w:val="32"/>
          <w:szCs w:val="32"/>
          <w:highlight w:val="none"/>
        </w:rPr>
        <w:t>投标人参加政府采购活动前3年内在经营活动中没有重大违法记录及有关信用信息的书面声明</w:t>
      </w:r>
    </w:p>
    <w:p w14:paraId="7675EA28">
      <w:pPr>
        <w:pStyle w:val="14"/>
        <w:spacing w:line="400" w:lineRule="exact"/>
        <w:rPr>
          <w:rFonts w:hAnsi="宋体"/>
          <w:b/>
          <w:sz w:val="24"/>
          <w:szCs w:val="24"/>
          <w:highlight w:val="none"/>
        </w:rPr>
      </w:pPr>
    </w:p>
    <w:p w14:paraId="2AF4F804">
      <w:pPr>
        <w:pStyle w:val="14"/>
        <w:spacing w:line="400" w:lineRule="exact"/>
        <w:jc w:val="center"/>
        <w:rPr>
          <w:rFonts w:hAnsi="宋体"/>
          <w:b/>
          <w:sz w:val="24"/>
          <w:szCs w:val="24"/>
          <w:highlight w:val="none"/>
        </w:rPr>
      </w:pPr>
    </w:p>
    <w:p w14:paraId="5F91D342">
      <w:pPr>
        <w:pStyle w:val="14"/>
        <w:spacing w:line="400" w:lineRule="exact"/>
        <w:jc w:val="center"/>
        <w:rPr>
          <w:rFonts w:hAnsi="宋体"/>
          <w:b/>
          <w:sz w:val="28"/>
          <w:szCs w:val="28"/>
          <w:highlight w:val="none"/>
        </w:rPr>
      </w:pPr>
      <w:r>
        <w:rPr>
          <w:rFonts w:hint="eastAsia" w:hAnsi="宋体"/>
          <w:b/>
          <w:sz w:val="28"/>
          <w:szCs w:val="28"/>
          <w:highlight w:val="none"/>
        </w:rPr>
        <w:t>声   明（格式）</w:t>
      </w:r>
    </w:p>
    <w:p w14:paraId="1B4D0362">
      <w:pPr>
        <w:snapToGrid w:val="0"/>
        <w:spacing w:line="400" w:lineRule="exact"/>
        <w:outlineLvl w:val="4"/>
        <w:rPr>
          <w:rFonts w:ascii="宋体" w:hAnsi="宋体"/>
          <w:b/>
          <w:szCs w:val="21"/>
          <w:highlight w:val="none"/>
        </w:rPr>
      </w:pPr>
    </w:p>
    <w:p w14:paraId="1F767242">
      <w:pPr>
        <w:snapToGrid w:val="0"/>
        <w:spacing w:line="400" w:lineRule="exact"/>
        <w:outlineLvl w:val="4"/>
        <w:rPr>
          <w:rFonts w:ascii="宋体" w:hAnsi="宋体"/>
          <w:highlight w:val="none"/>
        </w:rPr>
      </w:pPr>
      <w:r>
        <w:rPr>
          <w:rFonts w:hint="eastAsia" w:ascii="宋体" w:hAnsi="宋体"/>
          <w:b/>
          <w:szCs w:val="21"/>
          <w:highlight w:val="none"/>
        </w:rPr>
        <w:t>致</w:t>
      </w:r>
      <w:r>
        <w:rPr>
          <w:rFonts w:hint="eastAsia" w:ascii="宋体" w:hAnsi="宋体"/>
          <w:szCs w:val="21"/>
          <w:highlight w:val="none"/>
        </w:rPr>
        <w:t>：</w:t>
      </w:r>
      <w:r>
        <w:rPr>
          <w:rFonts w:hint="eastAsia" w:ascii="宋体" w:hAnsi="宋体"/>
          <w:highlight w:val="none"/>
          <w:u w:val="single"/>
        </w:rPr>
        <w:t>桂林技师学院</w:t>
      </w:r>
    </w:p>
    <w:p w14:paraId="0E612D04">
      <w:pPr>
        <w:snapToGrid w:val="0"/>
        <w:spacing w:line="400" w:lineRule="exact"/>
        <w:outlineLvl w:val="4"/>
        <w:rPr>
          <w:rFonts w:ascii="宋体" w:hAnsi="宋体"/>
          <w:szCs w:val="21"/>
          <w:highlight w:val="none"/>
          <w:u w:val="single"/>
        </w:rPr>
      </w:pPr>
    </w:p>
    <w:p w14:paraId="15879998">
      <w:pPr>
        <w:pStyle w:val="14"/>
        <w:spacing w:line="380" w:lineRule="exact"/>
        <w:ind w:firstLine="420" w:firstLineChars="200"/>
        <w:rPr>
          <w:rFonts w:hAnsi="宋体"/>
          <w:highlight w:val="none"/>
        </w:rPr>
      </w:pPr>
      <w:r>
        <w:rPr>
          <w:rFonts w:hint="eastAsia" w:hAnsi="宋体"/>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75BDB37">
      <w:pPr>
        <w:snapToGrid w:val="0"/>
        <w:spacing w:line="400" w:lineRule="exact"/>
        <w:ind w:firstLine="4515" w:firstLineChars="2150"/>
        <w:outlineLvl w:val="4"/>
        <w:rPr>
          <w:rFonts w:ascii="宋体" w:hAnsi="宋体"/>
          <w:szCs w:val="21"/>
          <w:highlight w:val="none"/>
        </w:rPr>
      </w:pPr>
    </w:p>
    <w:p w14:paraId="4543F7D3">
      <w:pPr>
        <w:snapToGrid w:val="0"/>
        <w:spacing w:line="400" w:lineRule="exact"/>
        <w:ind w:firstLine="4515" w:firstLineChars="2150"/>
        <w:outlineLvl w:val="4"/>
        <w:rPr>
          <w:rFonts w:ascii="宋体" w:hAnsi="宋体"/>
          <w:szCs w:val="21"/>
          <w:highlight w:val="none"/>
        </w:rPr>
      </w:pPr>
    </w:p>
    <w:p w14:paraId="02916156">
      <w:pPr>
        <w:snapToGrid w:val="0"/>
        <w:spacing w:line="400" w:lineRule="exact"/>
        <w:ind w:firstLine="4515" w:firstLineChars="2150"/>
        <w:outlineLvl w:val="4"/>
        <w:rPr>
          <w:rFonts w:ascii="宋体" w:hAnsi="宋体"/>
          <w:szCs w:val="21"/>
          <w:highlight w:val="none"/>
        </w:rPr>
      </w:pPr>
    </w:p>
    <w:p w14:paraId="57EB64D0">
      <w:pPr>
        <w:pStyle w:val="14"/>
        <w:spacing w:line="300" w:lineRule="auto"/>
        <w:rPr>
          <w:rFonts w:hint="default"/>
          <w:szCs w:val="21"/>
          <w:highlight w:val="none"/>
          <w:u w:val="single"/>
          <w:lang w:val="en-US" w:eastAsia="zh-CN"/>
        </w:rPr>
      </w:pPr>
      <w:r>
        <w:rPr>
          <w:rFonts w:hint="eastAsia"/>
          <w:szCs w:val="21"/>
          <w:highlight w:val="none"/>
          <w:lang w:val="en-US" w:eastAsia="zh-CN"/>
        </w:rPr>
        <w:t xml:space="preserve">                      投标人（公章）：   </w:t>
      </w:r>
      <w:r>
        <w:rPr>
          <w:rFonts w:hint="eastAsia"/>
          <w:szCs w:val="21"/>
          <w:highlight w:val="none"/>
          <w:u w:val="single"/>
          <w:lang w:val="en-US" w:eastAsia="zh-CN"/>
        </w:rPr>
        <w:t xml:space="preserve">                                      </w:t>
      </w:r>
    </w:p>
    <w:p w14:paraId="5B2B6C28">
      <w:pPr>
        <w:pStyle w:val="14"/>
        <w:spacing w:line="300" w:lineRule="auto"/>
        <w:rPr>
          <w:rFonts w:hint="default"/>
          <w:szCs w:val="21"/>
          <w:highlight w:val="none"/>
          <w:lang w:val="en-US" w:eastAsia="zh-CN"/>
        </w:rPr>
      </w:pPr>
    </w:p>
    <w:p w14:paraId="1F718FB2">
      <w:pPr>
        <w:pStyle w:val="14"/>
        <w:spacing w:line="300" w:lineRule="auto"/>
        <w:ind w:firstLine="2310" w:firstLineChars="1100"/>
        <w:rPr>
          <w:rFonts w:hint="eastAsia" w:hAnsi="宋体"/>
          <w:szCs w:val="21"/>
          <w:highlight w:val="none"/>
        </w:rPr>
      </w:pPr>
      <w:r>
        <w:rPr>
          <w:rFonts w:hint="eastAsia" w:hAnsi="宋体"/>
          <w:szCs w:val="21"/>
          <w:highlight w:val="none"/>
        </w:rPr>
        <w:t>法定代表人或法定代表人授权代表签字：</w:t>
      </w:r>
      <w:r>
        <w:rPr>
          <w:rFonts w:hint="eastAsia" w:hAnsi="宋体"/>
          <w:szCs w:val="21"/>
          <w:highlight w:val="none"/>
          <w:u w:val="single"/>
        </w:rPr>
        <w:t xml:space="preserve">    </w:t>
      </w:r>
      <w:r>
        <w:rPr>
          <w:rFonts w:hint="eastAsia"/>
          <w:szCs w:val="21"/>
          <w:highlight w:val="none"/>
          <w:u w:val="single"/>
          <w:lang w:val="en-US" w:eastAsia="zh-CN"/>
        </w:rPr>
        <w:t xml:space="preserve">  </w:t>
      </w:r>
      <w:r>
        <w:rPr>
          <w:rFonts w:hint="eastAsia" w:hAnsi="宋体"/>
          <w:szCs w:val="21"/>
          <w:highlight w:val="none"/>
          <w:u w:val="single"/>
        </w:rPr>
        <w:t xml:space="preserve">            </w:t>
      </w:r>
      <w:r>
        <w:rPr>
          <w:rFonts w:hint="eastAsia" w:hAnsi="宋体"/>
          <w:szCs w:val="21"/>
          <w:highlight w:val="none"/>
        </w:rPr>
        <w:t xml:space="preserve">  </w:t>
      </w:r>
    </w:p>
    <w:p w14:paraId="07F185C5">
      <w:pPr>
        <w:pStyle w:val="14"/>
        <w:spacing w:line="300" w:lineRule="auto"/>
        <w:ind w:firstLine="4183" w:firstLineChars="1992"/>
        <w:rPr>
          <w:rFonts w:hint="eastAsia" w:hAnsi="宋体"/>
          <w:szCs w:val="21"/>
          <w:highlight w:val="none"/>
          <w:u w:val="single"/>
        </w:rPr>
      </w:pPr>
    </w:p>
    <w:p w14:paraId="6C087742">
      <w:pPr>
        <w:pStyle w:val="14"/>
        <w:spacing w:line="300" w:lineRule="auto"/>
        <w:ind w:firstLine="4603" w:firstLineChars="2192"/>
        <w:rPr>
          <w:rFonts w:hint="eastAsia" w:hAnsi="宋体"/>
          <w:szCs w:val="21"/>
          <w:highlight w:val="none"/>
          <w:u w:val="single"/>
        </w:rPr>
      </w:pPr>
    </w:p>
    <w:p w14:paraId="72B95586">
      <w:pPr>
        <w:pStyle w:val="14"/>
        <w:spacing w:line="300" w:lineRule="auto"/>
        <w:ind w:firstLine="4603" w:firstLineChars="2192"/>
        <w:rPr>
          <w:rFonts w:hint="eastAsia" w:hAnsi="宋体"/>
          <w:szCs w:val="21"/>
          <w:highlight w:val="none"/>
          <w:u w:val="single"/>
        </w:rPr>
      </w:pP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szCs w:val="21"/>
          <w:highlight w:val="none"/>
          <w:u w:val="single"/>
          <w:lang w:val="en-US" w:eastAsia="zh-CN"/>
        </w:rPr>
        <w:t xml:space="preserve"> </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szCs w:val="21"/>
          <w:highlight w:val="none"/>
          <w:u w:val="single"/>
          <w:lang w:val="en-US" w:eastAsia="zh-CN"/>
        </w:rPr>
        <w:t xml:space="preserve">   </w:t>
      </w:r>
      <w:r>
        <w:rPr>
          <w:rFonts w:hint="eastAsia" w:hAnsi="宋体"/>
          <w:szCs w:val="21"/>
          <w:highlight w:val="none"/>
          <w:u w:val="single"/>
        </w:rPr>
        <w:t xml:space="preserve"> </w:t>
      </w:r>
      <w:r>
        <w:rPr>
          <w:rFonts w:hint="eastAsia" w:hAnsi="宋体"/>
          <w:szCs w:val="21"/>
          <w:highlight w:val="none"/>
        </w:rPr>
        <w:t>日</w:t>
      </w:r>
    </w:p>
    <w:p w14:paraId="2160C598">
      <w:pPr>
        <w:spacing w:line="400" w:lineRule="exact"/>
        <w:rPr>
          <w:b/>
          <w:sz w:val="30"/>
          <w:szCs w:val="30"/>
          <w:highlight w:val="none"/>
        </w:rPr>
      </w:pPr>
    </w:p>
    <w:p w14:paraId="24056159">
      <w:pPr>
        <w:pageBreakBefore/>
        <w:snapToGrid w:val="0"/>
        <w:spacing w:line="400" w:lineRule="exact"/>
        <w:jc w:val="both"/>
        <w:rPr>
          <w:rFonts w:hint="eastAsia" w:ascii="宋体" w:hAnsi="宋体"/>
          <w:b/>
          <w:bCs/>
          <w:sz w:val="32"/>
          <w:szCs w:val="32"/>
          <w:highlight w:val="none"/>
        </w:rPr>
        <w:sectPr>
          <w:pgSz w:w="11906" w:h="16838"/>
          <w:pgMar w:top="1418" w:right="1134" w:bottom="1418" w:left="1418" w:header="851" w:footer="992" w:gutter="0"/>
          <w:pgNumType w:fmt="decimal"/>
          <w:cols w:space="720" w:num="1"/>
          <w:titlePg/>
        </w:sectPr>
      </w:pPr>
    </w:p>
    <w:p w14:paraId="7C3EA26E">
      <w:pPr>
        <w:pageBreakBefore/>
        <w:snapToGrid w:val="0"/>
        <w:spacing w:line="400" w:lineRule="exact"/>
        <w:jc w:val="center"/>
        <w:rPr>
          <w:rFonts w:hint="eastAsia" w:ascii="宋体" w:hAnsi="宋体" w:eastAsia="宋体" w:cs="宋体"/>
          <w:b/>
          <w:bCs/>
          <w:sz w:val="64"/>
          <w:szCs w:val="64"/>
          <w:highlight w:val="none"/>
        </w:rPr>
      </w:pPr>
      <w:r>
        <w:rPr>
          <w:rFonts w:hint="eastAsia" w:ascii="宋体" w:hAnsi="宋体"/>
          <w:b/>
          <w:bCs/>
          <w:sz w:val="32"/>
          <w:szCs w:val="32"/>
          <w:highlight w:val="none"/>
        </w:rPr>
        <w:t>第</w:t>
      </w:r>
      <w:r>
        <w:rPr>
          <w:rFonts w:hint="eastAsia" w:ascii="宋体" w:hAnsi="宋体"/>
          <w:b/>
          <w:bCs/>
          <w:sz w:val="32"/>
          <w:szCs w:val="32"/>
          <w:highlight w:val="none"/>
          <w:lang w:val="en-US" w:eastAsia="zh-CN"/>
        </w:rPr>
        <w:t>五</w:t>
      </w:r>
      <w:r>
        <w:rPr>
          <w:rFonts w:hint="eastAsia" w:ascii="宋体" w:hAnsi="宋体"/>
          <w:b/>
          <w:bCs/>
          <w:sz w:val="32"/>
          <w:szCs w:val="32"/>
          <w:highlight w:val="none"/>
        </w:rPr>
        <w:t>章  合同主要条款</w:t>
      </w:r>
    </w:p>
    <w:p w14:paraId="013C4E9D">
      <w:pPr>
        <w:jc w:val="both"/>
        <w:rPr>
          <w:rFonts w:hint="eastAsia" w:ascii="宋体" w:hAnsi="宋体" w:cs="宋体"/>
          <w:b/>
          <w:sz w:val="32"/>
          <w:szCs w:val="32"/>
          <w:highlight w:val="none"/>
          <w:lang w:eastAsia="zh-CN"/>
        </w:rPr>
      </w:pPr>
    </w:p>
    <w:p w14:paraId="7770210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桂林技师学院全自动体外除颤仪（AED）及配套固定电池电极片、AED壁挂箱</w:t>
      </w:r>
      <w:r>
        <w:rPr>
          <w:rFonts w:hint="eastAsia" w:ascii="黑体" w:hAnsi="黑体" w:eastAsia="黑体" w:cs="黑体"/>
          <w:b w:val="0"/>
          <w:bCs/>
          <w:color w:val="auto"/>
          <w:sz w:val="32"/>
          <w:szCs w:val="32"/>
          <w:highlight w:val="none"/>
        </w:rPr>
        <w:t>采购合同</w:t>
      </w:r>
    </w:p>
    <w:p w14:paraId="49887F3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left"/>
        <w:textAlignment w:val="auto"/>
        <w:rPr>
          <w:rFonts w:hint="eastAsia" w:ascii="方正仿宋_GB2312" w:hAnsi="方正仿宋_GB2312" w:eastAsia="方正仿宋_GB2312" w:cs="方正仿宋_GB2312"/>
          <w:color w:val="auto"/>
          <w:sz w:val="24"/>
          <w:szCs w:val="24"/>
          <w:highlight w:val="none"/>
        </w:rPr>
      </w:pPr>
    </w:p>
    <w:p w14:paraId="3CB24EC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甲方（采购方）：</w:t>
      </w:r>
      <w:r>
        <w:rPr>
          <w:rFonts w:hint="eastAsia" w:ascii="宋体" w:hAnsi="宋体" w:eastAsia="宋体" w:cs="宋体"/>
          <w:b w:val="0"/>
          <w:bCs/>
          <w:color w:val="auto"/>
          <w:sz w:val="21"/>
          <w:szCs w:val="21"/>
          <w:highlight w:val="none"/>
          <w:u w:val="single"/>
        </w:rPr>
        <w:t>桂林技师学院</w:t>
      </w:r>
      <w:r>
        <w:rPr>
          <w:rFonts w:hint="eastAsia" w:ascii="宋体" w:hAnsi="宋体" w:eastAsia="宋体" w:cs="宋体"/>
          <w:color w:val="auto"/>
          <w:sz w:val="21"/>
          <w:szCs w:val="21"/>
          <w:highlight w:val="none"/>
        </w:rPr>
        <w:t>（以下简称甲方）</w:t>
      </w:r>
    </w:p>
    <w:p w14:paraId="6FF0561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乙方（供货方）：________________________（以下简称乙方）</w:t>
      </w:r>
    </w:p>
    <w:p w14:paraId="689AE49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为维护双方合法权益，根据《中华人民共和国民法典》及相关法律法规，甲乙双方本着平等自愿、公平诚信、互利共赢的原则，就乙方向甲方供应</w:t>
      </w:r>
      <w:r>
        <w:rPr>
          <w:rFonts w:hint="eastAsia" w:hAnsi="宋体" w:cs="Times New Roman"/>
          <w:color w:val="auto"/>
          <w:kern w:val="1"/>
          <w:sz w:val="21"/>
          <w:szCs w:val="21"/>
          <w:highlight w:val="none"/>
          <w:lang w:val="en-US" w:eastAsia="zh-CN" w:bidi="ar-SA"/>
        </w:rPr>
        <w:t>全自动体外除颤仪（AED）及配套电池电极片、AED壁挂箱</w:t>
      </w:r>
      <w:r>
        <w:rPr>
          <w:rFonts w:hint="eastAsia" w:ascii="宋体" w:hAnsi="宋体" w:eastAsia="宋体" w:cs="宋体"/>
          <w:color w:val="auto"/>
          <w:sz w:val="21"/>
          <w:szCs w:val="21"/>
          <w:highlight w:val="none"/>
        </w:rPr>
        <w:t>事宜，经友好协商一致，订立本合同，以资共同信守履行。</w:t>
      </w:r>
    </w:p>
    <w:p w14:paraId="47F8E124">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4" w:name="heading_0"/>
      <w:r>
        <w:rPr>
          <w:rFonts w:hint="eastAsia" w:ascii="宋体" w:hAnsi="宋体" w:eastAsia="宋体" w:cs="宋体"/>
          <w:b/>
          <w:color w:val="auto"/>
          <w:sz w:val="21"/>
          <w:szCs w:val="21"/>
          <w:highlight w:val="none"/>
        </w:rPr>
        <w:t>一、项目名称</w:t>
      </w:r>
      <w:bookmarkEnd w:id="4"/>
    </w:p>
    <w:p w14:paraId="5092A9F2">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both"/>
        <w:textAlignment w:val="auto"/>
        <w:rPr>
          <w:rFonts w:hint="eastAsia" w:hAnsi="宋体" w:cs="Times New Roman"/>
          <w:color w:val="auto"/>
          <w:kern w:val="1"/>
          <w:sz w:val="21"/>
          <w:szCs w:val="21"/>
          <w:highlight w:val="none"/>
          <w:lang w:val="en-US" w:eastAsia="zh-CN" w:bidi="ar-SA"/>
        </w:rPr>
      </w:pPr>
      <w:bookmarkStart w:id="5" w:name="heading_1"/>
      <w:r>
        <w:rPr>
          <w:rFonts w:hint="eastAsia" w:hAnsi="宋体" w:cs="Times New Roman"/>
          <w:color w:val="auto"/>
          <w:kern w:val="1"/>
          <w:sz w:val="21"/>
          <w:szCs w:val="21"/>
          <w:highlight w:val="none"/>
          <w:lang w:val="en-US" w:eastAsia="zh-CN" w:bidi="ar-SA"/>
        </w:rPr>
        <w:t>桂林技师学院全自动体外除颤仪（AED）2台及配套电池电极片、AED壁挂箱2个采购。</w:t>
      </w:r>
    </w:p>
    <w:p w14:paraId="42026AEC">
      <w:pPr>
        <w:pStyle w:val="37"/>
        <w:keepNext w:val="0"/>
        <w:keepLines w:val="0"/>
        <w:pageBreakBefore w:val="0"/>
        <w:widowControl w:val="0"/>
        <w:kinsoku/>
        <w:wordWrap/>
        <w:overflowPunct/>
        <w:topLinePunct w:val="0"/>
        <w:autoSpaceDE w:val="0"/>
        <w:autoSpaceDN w:val="0"/>
        <w:bidi w:val="0"/>
        <w:adjustRightInd w:val="0"/>
        <w:snapToGrid/>
        <w:spacing w:line="56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二、采购内容及要求</w:t>
      </w:r>
      <w:bookmarkEnd w:id="5"/>
    </w:p>
    <w:p w14:paraId="780D2A24">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1.乙方向甲方提供</w:t>
      </w:r>
      <w:r>
        <w:rPr>
          <w:rFonts w:hint="eastAsia" w:hAnsi="宋体" w:cs="Times New Roman"/>
          <w:color w:val="auto"/>
          <w:kern w:val="1"/>
          <w:sz w:val="21"/>
          <w:szCs w:val="21"/>
          <w:highlight w:val="none"/>
          <w:lang w:val="en-US" w:eastAsia="zh-CN" w:bidi="ar-SA"/>
        </w:rPr>
        <w:t>全自动体外除颤仪（AED）及配套电池电极片、AED壁挂箱，</w:t>
      </w:r>
      <w:r>
        <w:rPr>
          <w:rFonts w:hint="eastAsia" w:ascii="宋体" w:hAnsi="宋体" w:eastAsia="宋体" w:cs="宋体"/>
          <w:color w:val="auto"/>
          <w:sz w:val="21"/>
          <w:szCs w:val="21"/>
          <w:highlight w:val="none"/>
        </w:rPr>
        <w:t>具体规格、数量、技术要求详见本合同附件《</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需求</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表》，乙方需按附件要求足额、按时供应所有产品。</w:t>
      </w:r>
    </w:p>
    <w:p w14:paraId="18E80990">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2.乙方提供的所有产品须为全新、合格正品，符合国家、行业相关标准及甲方明确的技术参数要求，无质量缺陷、无破损、无翻新，包装完好，附带产品合格证明、说明书等相关资料。</w:t>
      </w:r>
    </w:p>
    <w:p w14:paraId="0B56155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全自动体外除颤仪（AED）</w:t>
      </w:r>
      <w:r>
        <w:rPr>
          <w:rFonts w:hint="eastAsia" w:ascii="宋体" w:hAnsi="宋体" w:eastAsia="宋体" w:cs="宋体"/>
          <w:color w:val="auto"/>
          <w:sz w:val="21"/>
          <w:szCs w:val="21"/>
          <w:highlight w:val="none"/>
        </w:rPr>
        <w:t>须功能完整、运行稳定。</w:t>
      </w:r>
    </w:p>
    <w:p w14:paraId="4D858F7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4.乙方需提供软件安装、调试、部署服务，以及硬件设备的安装、调试服务，确保软件与硬件协同正常运行，并对甲方相关工作人员进行免费操作培训，直至工作人员熟练掌握使用方法。</w:t>
      </w:r>
    </w:p>
    <w:p w14:paraId="723B795A">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6" w:name="heading_2"/>
      <w:r>
        <w:rPr>
          <w:rFonts w:hint="eastAsia" w:ascii="宋体" w:hAnsi="宋体" w:eastAsia="宋体" w:cs="宋体"/>
          <w:b/>
          <w:color w:val="auto"/>
          <w:sz w:val="21"/>
          <w:szCs w:val="21"/>
          <w:highlight w:val="none"/>
        </w:rPr>
        <w:t>三、合同金额</w:t>
      </w:r>
      <w:bookmarkEnd w:id="6"/>
    </w:p>
    <w:p w14:paraId="40D7D551">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合同总价（含税）：人民币_____元（大写：________________）。</w:t>
      </w:r>
    </w:p>
    <w:p w14:paraId="62C07EC1">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该价格包含设备价款、运输费、安装调试费、培训费、税费及质保期内所有售后服务等全部费用，甲方无需另行向乙方支付</w:t>
      </w:r>
      <w:r>
        <w:rPr>
          <w:rFonts w:hint="eastAsia" w:ascii="宋体" w:hAnsi="宋体" w:eastAsia="宋体" w:cs="宋体"/>
          <w:sz w:val="21"/>
          <w:szCs w:val="21"/>
          <w:highlight w:val="none"/>
        </w:rPr>
        <w:t>任何其他费用。</w:t>
      </w:r>
    </w:p>
    <w:p w14:paraId="4865159B">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sz w:val="21"/>
          <w:szCs w:val="21"/>
          <w:highlight w:val="none"/>
        </w:rPr>
      </w:pPr>
      <w:bookmarkStart w:id="7" w:name="heading_3"/>
      <w:r>
        <w:rPr>
          <w:rFonts w:hint="eastAsia" w:ascii="宋体" w:hAnsi="宋体" w:eastAsia="宋体" w:cs="宋体"/>
          <w:b/>
          <w:sz w:val="21"/>
          <w:szCs w:val="21"/>
          <w:highlight w:val="none"/>
        </w:rPr>
        <w:t>四、交货及安装</w:t>
      </w:r>
      <w:bookmarkEnd w:id="7"/>
    </w:p>
    <w:p w14:paraId="004AEF00">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1.交货时间：本合同签订</w:t>
      </w:r>
      <w:r>
        <w:rPr>
          <w:rFonts w:hint="eastAsia" w:ascii="宋体" w:hAnsi="宋体" w:eastAsia="宋体" w:cs="宋体"/>
          <w:color w:val="auto"/>
          <w:sz w:val="21"/>
          <w:szCs w:val="21"/>
          <w:highlight w:val="none"/>
        </w:rPr>
        <w:t>生效后</w:t>
      </w:r>
      <w:r>
        <w:rPr>
          <w:rFonts w:hint="eastAsia" w:ascii="宋体" w:hAnsi="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rPr>
        <w:t>日内，乙方将</w:t>
      </w:r>
      <w:r>
        <w:rPr>
          <w:rFonts w:hint="eastAsia" w:ascii="宋体" w:hAnsi="宋体" w:eastAsia="宋体" w:cs="宋体"/>
          <w:sz w:val="21"/>
          <w:szCs w:val="21"/>
          <w:highlight w:val="none"/>
        </w:rPr>
        <w:t>所有产品送达甲方指定地点，并完成全部安装、调试工作，确保系统正常运行。</w:t>
      </w:r>
    </w:p>
    <w:p w14:paraId="393422A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2.交货地点：桂林技师学院校内指定地点（具体地点由甲方另行通知乙方）。</w:t>
      </w:r>
    </w:p>
    <w:p w14:paraId="5961C38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3.运输及装卸：乙方负责产品的全程运输及装卸，承担运输、装卸过程中产生的一切费用及产品损坏、丢失的风险，确保产品完好送达。</w:t>
      </w:r>
    </w:p>
    <w:p w14:paraId="01A12D7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4.安装调试：乙方需安排专业技术人员进行安装、调试，调试完毕后向甲方提交调试报告，说明设备及软件运行情况，确保符合合同约定及甲方使用需求。</w:t>
      </w:r>
    </w:p>
    <w:p w14:paraId="63B9F473">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sz w:val="21"/>
          <w:szCs w:val="21"/>
          <w:highlight w:val="none"/>
        </w:rPr>
      </w:pPr>
      <w:bookmarkStart w:id="8" w:name="heading_4"/>
      <w:r>
        <w:rPr>
          <w:rFonts w:hint="eastAsia" w:ascii="宋体" w:hAnsi="宋体" w:eastAsia="宋体" w:cs="宋体"/>
          <w:b/>
          <w:sz w:val="21"/>
          <w:szCs w:val="21"/>
          <w:highlight w:val="none"/>
        </w:rPr>
        <w:t>五、验收</w:t>
      </w:r>
      <w:bookmarkEnd w:id="8"/>
    </w:p>
    <w:p w14:paraId="325B065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1.验收时间：乙方完成全部安装、调试工作后，书面通知甲方进行验收，甲方应在接到通知后</w:t>
      </w:r>
      <w:r>
        <w:rPr>
          <w:rFonts w:hint="eastAsia" w:ascii="宋体" w:hAnsi="宋体" w:eastAsia="宋体" w:cs="宋体"/>
          <w:color w:val="auto"/>
          <w:sz w:val="21"/>
          <w:szCs w:val="21"/>
          <w:highlight w:val="none"/>
        </w:rPr>
        <w:t>_</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_</w:t>
      </w:r>
      <w:r>
        <w:rPr>
          <w:rFonts w:hint="eastAsia" w:ascii="宋体" w:hAnsi="宋体" w:eastAsia="宋体" w:cs="宋体"/>
          <w:sz w:val="21"/>
          <w:szCs w:val="21"/>
          <w:highlight w:val="none"/>
        </w:rPr>
        <w:t>个工作日内组织相关人员进行验收。</w:t>
      </w:r>
    </w:p>
    <w:p w14:paraId="25ABE3A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2.验收标准：严格按照本合同约定、附件《</w:t>
      </w:r>
      <w:r>
        <w:rPr>
          <w:rFonts w:hint="eastAsia" w:ascii="宋体" w:hAnsi="宋体" w:cs="宋体"/>
          <w:color w:val="auto"/>
          <w:sz w:val="21"/>
          <w:szCs w:val="21"/>
          <w:highlight w:val="none"/>
          <w:lang w:eastAsia="zh-CN"/>
        </w:rPr>
        <w:t>采购需求</w:t>
      </w:r>
      <w:r>
        <w:rPr>
          <w:rFonts w:hint="eastAsia" w:ascii="宋体" w:hAnsi="宋体" w:eastAsia="宋体" w:cs="宋体"/>
          <w:sz w:val="21"/>
          <w:szCs w:val="21"/>
          <w:highlight w:val="none"/>
        </w:rPr>
        <w:t>》明确的技术参数、功能要求，以及国家、行业相关标准执行。</w:t>
      </w:r>
    </w:p>
    <w:p w14:paraId="67DF20D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3.验收结果：验收合格的，双方共同签署《验收合格单》，验收日期以《验收合格单》签署日期为准；验收不合格的，乙方应在甲方指定的</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eastAsia="zh-CN"/>
          <w14:textFill>
            <w14:solidFill>
              <w14:schemeClr w14:val="tx1"/>
            </w14:solidFill>
          </w14:textFill>
        </w:rPr>
        <w:t>三</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日内无条件更换不合格产品或进行整改，直至验收合格，由此产生的一切费用由乙方承担，若逾期未整改合格，甲方有权解除合同并要求乙方赔偿损失。</w:t>
      </w:r>
    </w:p>
    <w:p w14:paraId="43A1808D">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9" w:name="heading_5"/>
      <w:r>
        <w:rPr>
          <w:rFonts w:hint="eastAsia" w:ascii="宋体" w:hAnsi="宋体" w:eastAsia="宋体" w:cs="宋体"/>
          <w:b/>
          <w:color w:val="000000" w:themeColor="text1"/>
          <w:sz w:val="21"/>
          <w:szCs w:val="21"/>
          <w:highlight w:val="none"/>
          <w14:textFill>
            <w14:solidFill>
              <w14:schemeClr w14:val="tx1"/>
            </w14:solidFill>
          </w14:textFill>
        </w:rPr>
        <w:t>六、付款方式</w:t>
      </w:r>
      <w:bookmarkEnd w:id="9"/>
    </w:p>
    <w:p w14:paraId="5CFD8B47">
      <w:pPr>
        <w:pStyle w:val="80"/>
        <w:rPr>
          <w:rFonts w:hint="eastAsia"/>
          <w:color w:val="000000" w:themeColor="text1"/>
          <w:highlight w:val="none"/>
          <w14:textFill>
            <w14:solidFill>
              <w14:schemeClr w14:val="tx1"/>
            </w14:solidFill>
          </w14:textFill>
        </w:rPr>
      </w:pPr>
    </w:p>
    <w:p w14:paraId="6037544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双方约定按以下方式支付合同款项（可根据实际需求修改）：</w:t>
      </w:r>
    </w:p>
    <w:p w14:paraId="59BB40A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1.预付款：本合同签订生效后_</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_个工作日内，甲方向乙方支付合同总价的_</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_%作为预付款</w:t>
      </w:r>
      <w:r>
        <w:rPr>
          <w:rFonts w:hint="eastAsia" w:ascii="宋体" w:hAnsi="宋体" w:cs="宋体"/>
          <w:color w:val="auto"/>
          <w:sz w:val="21"/>
          <w:szCs w:val="21"/>
          <w:highlight w:val="none"/>
          <w:lang w:val="en-US" w:eastAsia="zh-CN"/>
        </w:rPr>
        <w:t>后</w:t>
      </w:r>
      <w:r>
        <w:rPr>
          <w:rFonts w:hint="eastAsia" w:ascii="宋体" w:hAnsi="宋体" w:cs="宋体"/>
          <w:color w:val="auto"/>
          <w:sz w:val="21"/>
          <w:szCs w:val="21"/>
          <w:highlight w:val="none"/>
          <w:u w:val="single"/>
          <w:lang w:val="en-US" w:eastAsia="zh-CN"/>
        </w:rPr>
        <w:t>7</w:t>
      </w:r>
      <w:r>
        <w:rPr>
          <w:rFonts w:hint="eastAsia" w:ascii="宋体" w:hAnsi="宋体" w:cs="宋体"/>
          <w:color w:val="auto"/>
          <w:sz w:val="21"/>
          <w:szCs w:val="21"/>
          <w:highlight w:val="none"/>
          <w:lang w:val="en-US" w:eastAsia="zh-CN"/>
        </w:rPr>
        <w:t>个工作日内</w:t>
      </w:r>
      <w:r>
        <w:rPr>
          <w:rFonts w:hint="eastAsia" w:ascii="宋体" w:hAnsi="宋体" w:cs="宋体"/>
          <w:color w:val="auto"/>
          <w:sz w:val="21"/>
          <w:szCs w:val="21"/>
          <w:highlight w:val="none"/>
          <w:lang w:eastAsia="zh-CN"/>
        </w:rPr>
        <w:t>乙方提供服务器及软件。如果甲方在此期间支付到合同总价的</w:t>
      </w:r>
      <w:r>
        <w:rPr>
          <w:rFonts w:hint="eastAsia" w:ascii="宋体" w:hAnsi="宋体" w:eastAsia="宋体" w:cs="宋体"/>
          <w:color w:val="auto"/>
          <w:sz w:val="21"/>
          <w:szCs w:val="21"/>
          <w:highlight w:val="none"/>
        </w:rPr>
        <w:t>_</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_%</w:t>
      </w:r>
      <w:r>
        <w:rPr>
          <w:rFonts w:hint="eastAsia" w:ascii="宋体" w:hAnsi="宋体" w:cs="宋体"/>
          <w:color w:val="auto"/>
          <w:sz w:val="21"/>
          <w:szCs w:val="21"/>
          <w:highlight w:val="none"/>
          <w:lang w:eastAsia="zh-CN"/>
        </w:rPr>
        <w:t>预付款，乙方提供采购需求清单的货物。</w:t>
      </w:r>
    </w:p>
    <w:p w14:paraId="45712073">
      <w:pPr>
        <w:numPr>
          <w:ilvl w:val="0"/>
          <w:numId w:val="0"/>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2.尾款：</w:t>
      </w:r>
      <w:r>
        <w:rPr>
          <w:rFonts w:hint="eastAsia" w:ascii="宋体" w:hAnsi="宋体" w:cs="宋体"/>
          <w:color w:val="auto"/>
          <w:sz w:val="21"/>
          <w:szCs w:val="21"/>
          <w:highlight w:val="none"/>
          <w:lang w:val="en-US" w:eastAsia="zh-CN"/>
        </w:rPr>
        <w:t>质保金为合同总金额的3%，待乙方</w:t>
      </w:r>
      <w:r>
        <w:rPr>
          <w:rFonts w:hint="eastAsia" w:ascii="宋体" w:hAnsi="宋体" w:eastAsia="宋体" w:cs="宋体"/>
          <w:color w:val="auto"/>
          <w:sz w:val="21"/>
          <w:szCs w:val="21"/>
          <w:highlight w:val="none"/>
        </w:rPr>
        <w:t>全部产品交付、安装调试完毕并验收合格后</w:t>
      </w:r>
      <w:r>
        <w:rPr>
          <w:rFonts w:hint="eastAsia" w:ascii="宋体" w:hAnsi="宋体" w:cs="宋体"/>
          <w:color w:val="auto"/>
          <w:sz w:val="21"/>
          <w:szCs w:val="21"/>
          <w:highlight w:val="none"/>
          <w:u w:val="single"/>
          <w:lang w:val="en-US" w:eastAsia="zh-CN"/>
        </w:rPr>
        <w:t>财政资金到位情况下45</w:t>
      </w:r>
      <w:r>
        <w:rPr>
          <w:rFonts w:hint="eastAsia" w:ascii="宋体" w:hAnsi="宋体" w:eastAsia="宋体" w:cs="宋体"/>
          <w:color w:val="auto"/>
          <w:sz w:val="21"/>
          <w:szCs w:val="21"/>
          <w:highlight w:val="none"/>
        </w:rPr>
        <w:t>个工作日内，甲方凭《验收合格单》向乙方支付</w:t>
      </w:r>
      <w:r>
        <w:rPr>
          <w:rFonts w:hint="eastAsia" w:ascii="宋体" w:hAnsi="宋体" w:cs="宋体"/>
          <w:color w:val="auto"/>
          <w:sz w:val="21"/>
          <w:szCs w:val="21"/>
          <w:highlight w:val="none"/>
          <w:lang w:eastAsia="zh-CN"/>
        </w:rPr>
        <w:t>至</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eastAsia="zh-CN"/>
        </w:rPr>
        <w:t>总价的</w:t>
      </w:r>
      <w:r>
        <w:rPr>
          <w:rFonts w:hint="eastAsia" w:ascii="宋体" w:hAnsi="宋体" w:cs="宋体"/>
          <w:color w:val="auto"/>
          <w:sz w:val="21"/>
          <w:szCs w:val="21"/>
          <w:highlight w:val="none"/>
          <w:lang w:val="en-US" w:eastAsia="zh-CN"/>
        </w:rPr>
        <w:t>97%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质保期完成之日起</w:t>
      </w:r>
      <w:r>
        <w:rPr>
          <w:rFonts w:hint="eastAsia" w:ascii="宋体" w:hAnsi="宋体" w:eastAsia="宋体" w:cs="宋体"/>
          <w:color w:val="auto"/>
          <w:sz w:val="21"/>
          <w:szCs w:val="21"/>
          <w:highlight w:val="none"/>
        </w:rPr>
        <w:t>_</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_</w:t>
      </w:r>
      <w:r>
        <w:rPr>
          <w:rFonts w:hint="eastAsia" w:ascii="宋体" w:hAnsi="宋体" w:cs="宋体"/>
          <w:color w:val="auto"/>
          <w:sz w:val="21"/>
          <w:szCs w:val="21"/>
          <w:highlight w:val="none"/>
          <w:lang w:val="en-US" w:eastAsia="zh-CN"/>
        </w:rPr>
        <w:t>个工作日内</w:t>
      </w:r>
      <w:r>
        <w:rPr>
          <w:rFonts w:hint="eastAsia"/>
          <w:color w:val="auto"/>
          <w:szCs w:val="21"/>
          <w:highlight w:val="none"/>
        </w:rPr>
        <w:t>支付至</w:t>
      </w:r>
      <w:r>
        <w:rPr>
          <w:rFonts w:hint="eastAsia"/>
          <w:color w:val="auto"/>
          <w:szCs w:val="21"/>
          <w:highlight w:val="none"/>
          <w:lang w:eastAsia="zh-CN"/>
        </w:rPr>
        <w:t>合同总价</w:t>
      </w:r>
      <w:r>
        <w:rPr>
          <w:rFonts w:hint="eastAsia"/>
          <w:color w:val="auto"/>
          <w:szCs w:val="21"/>
          <w:highlight w:val="none"/>
        </w:rPr>
        <w:t>剩余费用（无息）。</w:t>
      </w:r>
    </w:p>
    <w:p w14:paraId="3893A4A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3.付款方式：甲方通过银行对公转账方式支付至乙方指定账户，乙方需提前向甲方提供合法有效的等额发票，否则甲方有权顺延付款，且不承担逾期付款责任。</w:t>
      </w:r>
    </w:p>
    <w:p w14:paraId="59C0C880">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乙方指定收款账户：</w:t>
      </w:r>
    </w:p>
    <w:p w14:paraId="0FF1C0E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开户行：________________________</w:t>
      </w:r>
    </w:p>
    <w:p w14:paraId="0B1357A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户名：________________________</w:t>
      </w:r>
    </w:p>
    <w:p w14:paraId="3C53445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账号：________________________</w:t>
      </w:r>
    </w:p>
    <w:p w14:paraId="766B2E32">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sz w:val="21"/>
          <w:szCs w:val="21"/>
          <w:highlight w:val="none"/>
        </w:rPr>
      </w:pPr>
      <w:bookmarkStart w:id="10" w:name="heading_6"/>
      <w:r>
        <w:rPr>
          <w:rFonts w:hint="eastAsia" w:ascii="宋体" w:hAnsi="宋体" w:eastAsia="宋体" w:cs="宋体"/>
          <w:b/>
          <w:sz w:val="21"/>
          <w:szCs w:val="21"/>
          <w:highlight w:val="none"/>
        </w:rPr>
        <w:t>七、质保及售后服务</w:t>
      </w:r>
      <w:bookmarkEnd w:id="10"/>
    </w:p>
    <w:p w14:paraId="1D0DB10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1.质保期限：</w:t>
      </w:r>
      <w:r>
        <w:rPr>
          <w:rFonts w:hint="eastAsia" w:ascii="宋体" w:hAnsi="宋体" w:cs="宋体"/>
          <w:color w:val="auto"/>
          <w:sz w:val="21"/>
          <w:szCs w:val="21"/>
          <w:highlight w:val="none"/>
          <w:lang w:eastAsia="zh-CN"/>
        </w:rPr>
        <w:t>全自动体外除颤仪（AED）</w:t>
      </w:r>
      <w:r>
        <w:rPr>
          <w:rFonts w:hint="eastAsia" w:ascii="宋体" w:hAnsi="宋体" w:eastAsia="宋体" w:cs="宋体"/>
          <w:sz w:val="21"/>
          <w:szCs w:val="21"/>
          <w:highlight w:val="none"/>
        </w:rPr>
        <w:t>整</w:t>
      </w:r>
      <w:r>
        <w:rPr>
          <w:rFonts w:hint="eastAsia" w:ascii="宋体" w:hAnsi="宋体" w:cs="宋体"/>
          <w:sz w:val="21"/>
          <w:szCs w:val="21"/>
          <w:highlight w:val="none"/>
          <w:lang w:val="en-US" w:eastAsia="zh-CN"/>
        </w:rPr>
        <w:t>机</w:t>
      </w:r>
      <w:r>
        <w:rPr>
          <w:rFonts w:hint="eastAsia" w:ascii="宋体" w:hAnsi="宋体" w:eastAsia="宋体" w:cs="宋体"/>
          <w:sz w:val="21"/>
          <w:szCs w:val="21"/>
          <w:highlight w:val="none"/>
        </w:rPr>
        <w:t>质保期为_</w:t>
      </w:r>
      <w:r>
        <w:rPr>
          <w:rFonts w:hint="eastAsia" w:ascii="宋体" w:hAnsi="宋体" w:eastAsia="宋体" w:cs="宋体"/>
          <w:color w:val="auto"/>
          <w:sz w:val="21"/>
          <w:szCs w:val="21"/>
          <w:highlight w:val="none"/>
        </w:rPr>
        <w:t>_</w:t>
      </w:r>
      <w:r>
        <w:rPr>
          <w:rFonts w:hint="eastAsia" w:ascii="宋体" w:hAnsi="宋体" w:cs="宋体"/>
          <w:color w:val="auto"/>
          <w:sz w:val="21"/>
          <w:szCs w:val="21"/>
          <w:highlight w:val="none"/>
          <w:lang w:val="en-US" w:eastAsia="zh-CN"/>
        </w:rPr>
        <w:t>伍</w:t>
      </w:r>
      <w:r>
        <w:rPr>
          <w:rFonts w:hint="eastAsia" w:ascii="宋体" w:hAnsi="宋体" w:eastAsia="宋体" w:cs="宋体"/>
          <w:color w:val="auto"/>
          <w:sz w:val="21"/>
          <w:szCs w:val="21"/>
          <w:highlight w:val="none"/>
        </w:rPr>
        <w:t>_</w:t>
      </w:r>
      <w:r>
        <w:rPr>
          <w:rFonts w:hint="eastAsia" w:ascii="宋体" w:hAnsi="宋体" w:eastAsia="宋体" w:cs="宋体"/>
          <w:sz w:val="21"/>
          <w:szCs w:val="21"/>
          <w:highlight w:val="none"/>
        </w:rPr>
        <w:t>年，自《验收合格单》签署之日起计算。质保期内，乙方提供免费维修、更换服务（人为损坏、不可抗力造成的损坏除外）。</w:t>
      </w:r>
    </w:p>
    <w:p w14:paraId="6377DC6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2.售后服务响应：质保期内，如产品出现质量问题或故障，甲方可通过电话、微信等方式通知乙方，乙方应在接到通知后_</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_小时内响应，</w:t>
      </w:r>
      <w:r>
        <w:rPr>
          <w:rFonts w:hint="eastAsia" w:ascii="宋体" w:hAnsi="宋体" w:cs="宋体"/>
          <w:sz w:val="21"/>
          <w:szCs w:val="21"/>
          <w:highlight w:val="none"/>
          <w:u w:val="single"/>
          <w:lang w:val="en-US" w:eastAsia="zh-CN"/>
        </w:rPr>
        <w:t xml:space="preserve">24 </w:t>
      </w:r>
      <w:r>
        <w:rPr>
          <w:rFonts w:hint="eastAsia" w:ascii="宋体" w:hAnsi="宋体" w:eastAsia="宋体" w:cs="宋体"/>
          <w:sz w:val="21"/>
          <w:szCs w:val="21"/>
          <w:highlight w:val="none"/>
        </w:rPr>
        <w:t>小时内安排专业技术人员</w:t>
      </w:r>
      <w:r>
        <w:rPr>
          <w:rFonts w:hint="eastAsia" w:ascii="宋体" w:hAnsi="宋体" w:cs="宋体"/>
          <w:sz w:val="21"/>
          <w:szCs w:val="21"/>
          <w:highlight w:val="none"/>
          <w:lang w:eastAsia="zh-CN"/>
        </w:rPr>
        <w:t>线上</w:t>
      </w:r>
      <w:r>
        <w:rPr>
          <w:rFonts w:hint="eastAsia" w:ascii="宋体" w:hAnsi="宋体" w:eastAsia="宋体" w:cs="宋体"/>
          <w:sz w:val="21"/>
          <w:szCs w:val="21"/>
          <w:highlight w:val="none"/>
        </w:rPr>
        <w:t>处理，确保在最短时间内解决问题，恢复正常使用。</w:t>
      </w:r>
    </w:p>
    <w:p w14:paraId="5E1FE58D">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3.长期技术支持：质保期届满后，乙方仍需提供长期技术支持服务，可根据甲方需求提供有偿维修服务（收费标准双方另行协商），确保软件及设备持续稳定运行。</w:t>
      </w:r>
    </w:p>
    <w:p w14:paraId="55CD3D7D">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sz w:val="21"/>
          <w:szCs w:val="21"/>
          <w:highlight w:val="none"/>
        </w:rPr>
      </w:pPr>
      <w:bookmarkStart w:id="11" w:name="heading_7"/>
      <w:r>
        <w:rPr>
          <w:rFonts w:hint="eastAsia" w:ascii="宋体" w:hAnsi="宋体" w:eastAsia="宋体" w:cs="宋体"/>
          <w:b/>
          <w:sz w:val="21"/>
          <w:szCs w:val="21"/>
          <w:highlight w:val="none"/>
        </w:rPr>
        <w:t>八、甲方权利义务</w:t>
      </w:r>
      <w:bookmarkEnd w:id="11"/>
    </w:p>
    <w:p w14:paraId="7F2EC06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1.甲方应指定专人负责对接乙方，及时向乙方提供必要的现场条件（如电源、网络环境等），配合乙方完成产品的运输、装卸、安装、调试及培训工作。</w:t>
      </w:r>
    </w:p>
    <w:p w14:paraId="576FDD1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2.甲方应按本合同约定的时间及时组织验收，并按时支付合同款项。</w:t>
      </w:r>
    </w:p>
    <w:p w14:paraId="7D64EBE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.甲方有权对乙方的供货进度、产品质量、安装调试及售后服务进行监督，对不符合合同约定的行为有权要求乙方整改。</w:t>
      </w:r>
    </w:p>
    <w:p w14:paraId="527F6E62">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sz w:val="21"/>
          <w:szCs w:val="21"/>
          <w:highlight w:val="none"/>
        </w:rPr>
      </w:pPr>
      <w:bookmarkStart w:id="12" w:name="heading_8"/>
      <w:r>
        <w:rPr>
          <w:rFonts w:hint="eastAsia" w:ascii="宋体" w:hAnsi="宋体" w:eastAsia="宋体" w:cs="宋体"/>
          <w:b/>
          <w:sz w:val="21"/>
          <w:szCs w:val="21"/>
          <w:highlight w:val="none"/>
        </w:rPr>
        <w:t>九、乙方权利义务</w:t>
      </w:r>
      <w:bookmarkEnd w:id="12"/>
    </w:p>
    <w:p w14:paraId="6C85872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保证所供产品来源合法，质量合格，符合国家相关标准及合同约定，不侵犯任何第三方的知识产权（包括著作权、专利权、商标权等），若因知识产权问题引发纠纷，由乙方承担全部责任及由此给甲方造成的一切损失。</w:t>
      </w:r>
    </w:p>
    <w:p w14:paraId="023534D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2.乙方应按时、按质、按量完成产品的供货、安装、调试及培训工作，不得逾期交货、擅自更换产品规格或降低产品质量标准。</w:t>
      </w:r>
    </w:p>
    <w:p w14:paraId="24B681E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3.乙方应严格履行售后服务承诺，及时响应甲方的售后服务需求，保障甲方正常使用。</w:t>
      </w:r>
    </w:p>
    <w:p w14:paraId="170D298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.乙方应向甲方提供产品合格证明、说明书、安装手册等相关技术资料，配合甲方完成验收工作。</w:t>
      </w:r>
    </w:p>
    <w:p w14:paraId="068A1666">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sz w:val="21"/>
          <w:szCs w:val="21"/>
          <w:highlight w:val="none"/>
        </w:rPr>
      </w:pPr>
      <w:bookmarkStart w:id="13" w:name="heading_9"/>
      <w:r>
        <w:rPr>
          <w:rFonts w:hint="eastAsia" w:ascii="宋体" w:hAnsi="宋体" w:eastAsia="宋体" w:cs="宋体"/>
          <w:b/>
          <w:sz w:val="21"/>
          <w:szCs w:val="21"/>
          <w:highlight w:val="none"/>
        </w:rPr>
        <w:t>十、违约责任</w:t>
      </w:r>
      <w:bookmarkEnd w:id="13"/>
    </w:p>
    <w:p w14:paraId="6F03C37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1.乙方逾期交货的，每逾期一天，应按合同总价的_</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_‰向甲方支付违约金；逾期超过_</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_天，甲方有权解除本合同，乙方应退还甲方已支付的全部款项，并按合同总价的_</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_%向甲方支付违约金，赔偿甲方因此造成的损失。</w:t>
      </w:r>
    </w:p>
    <w:p w14:paraId="6E9AA28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2.乙方提供的产品不符合合同约定、附件要求或质量不合格的，应无条件退换货，并承担由此产生的一切费用，同时按该不合格产品对应价款的_</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_%向甲方支付违约金；若因此给甲方造成损失的，乙方应全额赔偿。</w:t>
      </w:r>
    </w:p>
    <w:p w14:paraId="7007F38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3.乙方未按约定履行售后服务义务，逾期响应或未按时解决故障的，每逾期一天，应按合同总价的_</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_‰向甲方支付违约金；若因乙方售后服务不到位，导致甲方无法正常使用产品的，乙方应赔偿甲方因此造成的损失。</w:t>
      </w:r>
    </w:p>
    <w:p w14:paraId="2DD7C14F">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4.甲方逾期支付合同款项的，每逾期一天，应按应付款项的______‰向乙方支付违约金；逾期超过______天，乙方有权暂停售后服务，由此造成的损失由甲方自行承担。</w:t>
      </w:r>
    </w:p>
    <w:p w14:paraId="3C863B58">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5.任何一方违反本合同其他约定，应承担相应的违约责任，给对方造成损失的，应全额赔偿。</w:t>
      </w:r>
    </w:p>
    <w:p w14:paraId="015992B7">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sz w:val="21"/>
          <w:szCs w:val="21"/>
          <w:highlight w:val="none"/>
        </w:rPr>
      </w:pPr>
      <w:bookmarkStart w:id="14" w:name="heading_10"/>
      <w:r>
        <w:rPr>
          <w:rFonts w:hint="eastAsia" w:ascii="宋体" w:hAnsi="宋体" w:eastAsia="宋体" w:cs="宋体"/>
          <w:b/>
          <w:sz w:val="21"/>
          <w:szCs w:val="21"/>
          <w:highlight w:val="none"/>
        </w:rPr>
        <w:t>十一、合同期限</w:t>
      </w:r>
      <w:bookmarkEnd w:id="14"/>
    </w:p>
    <w:p w14:paraId="5262BEE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本合同自双方签字盖章之日起生效，至质保期满、所有合同款项结清、双方权利义务全部履行完毕之日终止。</w:t>
      </w:r>
    </w:p>
    <w:p w14:paraId="22699F3B">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sz w:val="21"/>
          <w:szCs w:val="21"/>
          <w:highlight w:val="none"/>
        </w:rPr>
      </w:pPr>
      <w:bookmarkStart w:id="15" w:name="heading_11"/>
      <w:r>
        <w:rPr>
          <w:rFonts w:hint="eastAsia" w:ascii="宋体" w:hAnsi="宋体" w:eastAsia="宋体" w:cs="宋体"/>
          <w:b/>
          <w:sz w:val="21"/>
          <w:szCs w:val="21"/>
          <w:highlight w:val="none"/>
        </w:rPr>
        <w:t>十二、争议解决</w:t>
      </w:r>
      <w:bookmarkEnd w:id="15"/>
    </w:p>
    <w:p w14:paraId="7168F3C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因本合同引起的或与本合同有关的任何争议，双方应首先通过友好协商解决；协商不成的，任何一方均有权向</w:t>
      </w:r>
      <w:r>
        <w:rPr>
          <w:rFonts w:hint="eastAsia" w:ascii="宋体" w:hAnsi="宋体" w:eastAsia="宋体" w:cs="宋体"/>
          <w:b/>
          <w:sz w:val="21"/>
          <w:szCs w:val="21"/>
          <w:highlight w:val="none"/>
        </w:rPr>
        <w:t>甲方所在地人民法院</w:t>
      </w:r>
      <w:r>
        <w:rPr>
          <w:rFonts w:hint="eastAsia" w:ascii="宋体" w:hAnsi="宋体" w:eastAsia="宋体" w:cs="宋体"/>
          <w:sz w:val="21"/>
          <w:szCs w:val="21"/>
          <w:highlight w:val="none"/>
        </w:rPr>
        <w:t>提起诉讼。</w:t>
      </w:r>
    </w:p>
    <w:p w14:paraId="2681D204">
      <w:pPr>
        <w:keepNext w:val="0"/>
        <w:keepLines w:val="0"/>
        <w:pageBreakBefore w:val="0"/>
        <w:widowControl w:val="0"/>
        <w:kinsoku/>
        <w:wordWrap/>
        <w:overflowPunct/>
        <w:topLinePunct w:val="0"/>
        <w:autoSpaceDE/>
        <w:autoSpaceDN/>
        <w:bidi w:val="0"/>
        <w:adjustRightInd/>
        <w:snapToGrid/>
        <w:spacing w:line="500" w:lineRule="exact"/>
        <w:ind w:left="0" w:firstLine="422" w:firstLineChars="200"/>
        <w:jc w:val="left"/>
        <w:textAlignment w:val="auto"/>
        <w:outlineLvl w:val="1"/>
        <w:rPr>
          <w:rFonts w:hint="eastAsia" w:ascii="宋体" w:hAnsi="宋体" w:eastAsia="宋体" w:cs="宋体"/>
          <w:sz w:val="21"/>
          <w:szCs w:val="21"/>
          <w:highlight w:val="none"/>
        </w:rPr>
      </w:pPr>
      <w:bookmarkStart w:id="16" w:name="heading_12"/>
      <w:r>
        <w:rPr>
          <w:rFonts w:hint="eastAsia" w:ascii="宋体" w:hAnsi="宋体" w:eastAsia="宋体" w:cs="宋体"/>
          <w:b/>
          <w:sz w:val="21"/>
          <w:szCs w:val="21"/>
          <w:highlight w:val="none"/>
        </w:rPr>
        <w:t>十三、其他</w:t>
      </w:r>
      <w:bookmarkEnd w:id="16"/>
    </w:p>
    <w:p w14:paraId="251D422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1.本合同附件《</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需求表》为本合同不可分割的组成部分，与本合同具有同等法律效力。</w:t>
      </w:r>
    </w:p>
    <w:p w14:paraId="2E9104E1">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2.本合同未尽事宜，双方可另行协商并签订补充协议，补充协议与本合同具有同等法律效力。</w:t>
      </w:r>
    </w:p>
    <w:p w14:paraId="5575D63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3.本合同一式</w:t>
      </w:r>
      <w:r>
        <w:rPr>
          <w:rFonts w:hint="eastAsia" w:ascii="宋体" w:hAnsi="宋体" w:eastAsia="宋体" w:cs="宋体"/>
          <w:b/>
          <w:sz w:val="21"/>
          <w:szCs w:val="21"/>
          <w:highlight w:val="none"/>
        </w:rPr>
        <w:t>肆份</w:t>
      </w:r>
      <w:r>
        <w:rPr>
          <w:rFonts w:hint="eastAsia" w:ascii="宋体" w:hAnsi="宋体" w:eastAsia="宋体" w:cs="宋体"/>
          <w:sz w:val="21"/>
          <w:szCs w:val="21"/>
          <w:highlight w:val="none"/>
        </w:rPr>
        <w:t>，甲方执贰份，乙方执贰份，每份具有同等法律效力，自双方签字盖章之日起生效。</w:t>
      </w:r>
    </w:p>
    <w:p w14:paraId="44E52865">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4.双方联系信息：</w:t>
      </w:r>
    </w:p>
    <w:p w14:paraId="599F8F3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甲方指定联系人：__________联系方式：_______________</w:t>
      </w:r>
    </w:p>
    <w:p w14:paraId="6C6CA68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乙方指定联系人：__________联系方式：_______________</w:t>
      </w:r>
    </w:p>
    <w:p w14:paraId="14A56A9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一方联系方式变更的，应提前3日书面通知对方，否则因此产生的无法联系、沟通延误等责任由变更方承担。</w:t>
      </w:r>
    </w:p>
    <w:p w14:paraId="5DF6E8C3">
      <w:pPr>
        <w:keepNext w:val="0"/>
        <w:keepLines/>
        <w:pageBreakBefore w:val="0"/>
        <w:widowControl w:val="0"/>
        <w:kinsoku/>
        <w:wordWrap/>
        <w:overflowPunct/>
        <w:topLinePunct w:val="0"/>
        <w:autoSpaceDE/>
        <w:autoSpaceDN/>
        <w:bidi w:val="0"/>
        <w:adjustRightInd/>
        <w:snapToGrid/>
        <w:spacing w:line="500" w:lineRule="exact"/>
        <w:ind w:left="0" w:firstLine="482" w:firstLineChars="200"/>
        <w:jc w:val="left"/>
        <w:textAlignment w:val="auto"/>
        <w:outlineLvl w:val="1"/>
        <w:rPr>
          <w:rFonts w:hint="eastAsia" w:ascii="方正仿宋_GB2312" w:hAnsi="方正仿宋_GB2312" w:eastAsia="方正仿宋_GB2312" w:cs="方正仿宋_GB2312"/>
          <w:b/>
          <w:sz w:val="24"/>
          <w:szCs w:val="24"/>
          <w:highlight w:val="none"/>
          <w:lang w:val="en-US" w:eastAsia="zh-CN"/>
        </w:rPr>
      </w:pPr>
      <w:bookmarkStart w:id="17" w:name="heading_13"/>
      <w:r>
        <w:rPr>
          <w:rFonts w:hint="eastAsia" w:ascii="方正仿宋_GB2312" w:hAnsi="方正仿宋_GB2312" w:eastAsia="方正仿宋_GB2312" w:cs="方正仿宋_GB2312"/>
          <w:b/>
          <w:sz w:val="24"/>
          <w:szCs w:val="24"/>
          <w:highlight w:val="none"/>
        </w:rPr>
        <w:t>附件：</w:t>
      </w:r>
      <w:r>
        <w:rPr>
          <w:rFonts w:hint="eastAsia" w:ascii="方正仿宋_GB2312" w:hAnsi="方正仿宋_GB2312" w:eastAsia="方正仿宋_GB2312" w:cs="方正仿宋_GB2312"/>
          <w:b/>
          <w:sz w:val="24"/>
          <w:szCs w:val="24"/>
          <w:highlight w:val="none"/>
          <w:lang w:eastAsia="zh-CN"/>
        </w:rPr>
        <w:t>采购</w:t>
      </w:r>
      <w:r>
        <w:rPr>
          <w:rFonts w:hint="eastAsia" w:ascii="方正仿宋_GB2312" w:hAnsi="方正仿宋_GB2312" w:eastAsia="方正仿宋_GB2312" w:cs="方正仿宋_GB2312"/>
          <w:b/>
          <w:sz w:val="24"/>
          <w:szCs w:val="24"/>
          <w:highlight w:val="none"/>
        </w:rPr>
        <w:t>需求</w:t>
      </w:r>
      <w:bookmarkEnd w:id="17"/>
      <w:r>
        <w:rPr>
          <w:rFonts w:hint="eastAsia" w:ascii="方正仿宋_GB2312" w:hAnsi="方正仿宋_GB2312" w:eastAsia="方正仿宋_GB2312" w:cs="方正仿宋_GB2312"/>
          <w:b/>
          <w:sz w:val="24"/>
          <w:szCs w:val="24"/>
          <w:highlight w:val="none"/>
          <w:lang w:val="en-US" w:eastAsia="zh-CN"/>
        </w:rPr>
        <w:t>价格表</w:t>
      </w:r>
    </w:p>
    <w:p w14:paraId="4F4187D1">
      <w:pPr>
        <w:keepNext w:val="0"/>
        <w:keepLines/>
        <w:pageBreakBefore w:val="0"/>
        <w:widowControl w:val="0"/>
        <w:kinsoku/>
        <w:wordWrap/>
        <w:overflowPunct/>
        <w:topLinePunct w:val="0"/>
        <w:autoSpaceDE/>
        <w:autoSpaceDN/>
        <w:bidi w:val="0"/>
        <w:adjustRightInd/>
        <w:snapToGrid/>
        <w:spacing w:line="500" w:lineRule="exact"/>
        <w:ind w:left="0" w:firstLine="482" w:firstLineChars="200"/>
        <w:jc w:val="left"/>
        <w:textAlignment w:val="auto"/>
        <w:outlineLvl w:val="1"/>
        <w:rPr>
          <w:rFonts w:hint="default" w:ascii="方正仿宋_GB2312" w:hAnsi="方正仿宋_GB2312" w:eastAsia="方正仿宋_GB2312" w:cs="方正仿宋_GB2312"/>
          <w:b/>
          <w:sz w:val="24"/>
          <w:szCs w:val="24"/>
          <w:highlight w:val="none"/>
          <w:lang w:val="en-US" w:eastAsia="zh-CN"/>
        </w:rPr>
      </w:pPr>
    </w:p>
    <w:p w14:paraId="2B310DE4">
      <w:pPr>
        <w:keepNext w:val="0"/>
        <w:keepLines/>
        <w:pageBreakBefore w:val="0"/>
        <w:widowControl w:val="0"/>
        <w:kinsoku/>
        <w:wordWrap/>
        <w:overflowPunct/>
        <w:topLinePunct w:val="0"/>
        <w:autoSpaceDE/>
        <w:autoSpaceDN/>
        <w:bidi w:val="0"/>
        <w:adjustRightInd/>
        <w:snapToGrid/>
        <w:spacing w:line="500" w:lineRule="exact"/>
        <w:ind w:left="0" w:firstLine="482" w:firstLineChars="200"/>
        <w:jc w:val="left"/>
        <w:textAlignment w:val="auto"/>
        <w:outlineLvl w:val="1"/>
        <w:rPr>
          <w:rFonts w:hint="default" w:ascii="方正仿宋_GB2312" w:hAnsi="方正仿宋_GB2312" w:eastAsia="方正仿宋_GB2312" w:cs="方正仿宋_GB2312"/>
          <w:b/>
          <w:sz w:val="24"/>
          <w:szCs w:val="24"/>
          <w:highlight w:val="none"/>
          <w:lang w:val="en-US" w:eastAsia="zh-CN"/>
        </w:rPr>
      </w:pPr>
    </w:p>
    <w:p w14:paraId="4CD59893">
      <w:pPr>
        <w:keepNext w:val="0"/>
        <w:keepLines/>
        <w:pageBreakBefore w:val="0"/>
        <w:widowControl w:val="0"/>
        <w:kinsoku/>
        <w:wordWrap/>
        <w:overflowPunct/>
        <w:topLinePunct w:val="0"/>
        <w:autoSpaceDE/>
        <w:autoSpaceDN/>
        <w:bidi w:val="0"/>
        <w:adjustRightInd/>
        <w:snapToGrid/>
        <w:spacing w:line="500" w:lineRule="exact"/>
        <w:ind w:left="0" w:firstLine="482" w:firstLineChars="200"/>
        <w:jc w:val="left"/>
        <w:textAlignment w:val="auto"/>
        <w:outlineLvl w:val="1"/>
        <w:rPr>
          <w:rFonts w:hint="default" w:ascii="方正仿宋_GB2312" w:hAnsi="方正仿宋_GB2312" w:eastAsia="方正仿宋_GB2312" w:cs="方正仿宋_GB2312"/>
          <w:b/>
          <w:sz w:val="24"/>
          <w:szCs w:val="24"/>
          <w:highlight w:val="none"/>
          <w:lang w:val="en-US" w:eastAsia="zh-CN"/>
        </w:rPr>
      </w:pPr>
    </w:p>
    <w:p w14:paraId="659B3328">
      <w:pPr>
        <w:keepNext w:val="0"/>
        <w:keepLines/>
        <w:pageBreakBefore w:val="0"/>
        <w:widowControl w:val="0"/>
        <w:kinsoku/>
        <w:wordWrap/>
        <w:overflowPunct/>
        <w:topLinePunct w:val="0"/>
        <w:autoSpaceDE/>
        <w:autoSpaceDN/>
        <w:bidi w:val="0"/>
        <w:adjustRightInd/>
        <w:snapToGrid/>
        <w:spacing w:line="500" w:lineRule="exact"/>
        <w:ind w:left="0" w:firstLine="482" w:firstLineChars="200"/>
        <w:jc w:val="left"/>
        <w:textAlignment w:val="auto"/>
        <w:outlineLvl w:val="1"/>
        <w:rPr>
          <w:rFonts w:hint="default" w:ascii="方正仿宋_GB2312" w:hAnsi="方正仿宋_GB2312" w:eastAsia="方正仿宋_GB2312" w:cs="方正仿宋_GB2312"/>
          <w:b/>
          <w:sz w:val="24"/>
          <w:szCs w:val="24"/>
          <w:highlight w:val="none"/>
          <w:lang w:val="en-US" w:eastAsia="zh-CN"/>
        </w:rPr>
      </w:pPr>
    </w:p>
    <w:tbl>
      <w:tblPr>
        <w:tblStyle w:val="28"/>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1"/>
        <w:gridCol w:w="582"/>
        <w:gridCol w:w="7165"/>
        <w:gridCol w:w="1330"/>
      </w:tblGrid>
      <w:tr w14:paraId="4E1A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3" w:hRule="atLeast"/>
          <w:tblHeader/>
          <w:jc w:val="center"/>
        </w:trPr>
        <w:tc>
          <w:tcPr>
            <w:tcW w:w="681" w:type="dxa"/>
            <w:tcMar>
              <w:top w:w="60" w:type="dxa"/>
              <w:left w:w="120" w:type="dxa"/>
              <w:bottom w:w="30" w:type="dxa"/>
              <w:right w:w="120" w:type="dxa"/>
            </w:tcMar>
            <w:vAlign w:val="center"/>
          </w:tcPr>
          <w:p w14:paraId="0838830F">
            <w:pPr>
              <w:keepNext/>
              <w:keepLines w:val="0"/>
              <w:pageBreakBefore w:val="0"/>
              <w:widowControl w:val="0"/>
              <w:kinsoku/>
              <w:wordWrap/>
              <w:overflowPunct/>
              <w:topLinePunct w:val="0"/>
              <w:autoSpaceDE/>
              <w:autoSpaceDN/>
              <w:bidi w:val="0"/>
              <w:adjustRightInd/>
              <w:snapToGrid w:val="0"/>
              <w:spacing w:line="360" w:lineRule="exact"/>
              <w:ind w:lef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产品名称</w:t>
            </w:r>
          </w:p>
        </w:tc>
        <w:tc>
          <w:tcPr>
            <w:tcW w:w="582" w:type="dxa"/>
            <w:tcMar>
              <w:top w:w="60" w:type="dxa"/>
              <w:left w:w="120" w:type="dxa"/>
              <w:bottom w:w="30" w:type="dxa"/>
              <w:right w:w="120" w:type="dxa"/>
            </w:tcMar>
            <w:vAlign w:val="center"/>
          </w:tcPr>
          <w:p w14:paraId="14EEF58A">
            <w:pPr>
              <w:keepNext/>
              <w:keepLines w:val="0"/>
              <w:pageBreakBefore w:val="0"/>
              <w:widowControl w:val="0"/>
              <w:kinsoku/>
              <w:wordWrap/>
              <w:overflowPunct/>
              <w:topLinePunct w:val="0"/>
              <w:autoSpaceDE/>
              <w:autoSpaceDN/>
              <w:bidi w:val="0"/>
              <w:adjustRightInd/>
              <w:snapToGrid w:val="0"/>
              <w:spacing w:line="360" w:lineRule="exact"/>
              <w:ind w:lef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数量</w:t>
            </w:r>
          </w:p>
        </w:tc>
        <w:tc>
          <w:tcPr>
            <w:tcW w:w="7165" w:type="dxa"/>
            <w:tcMar>
              <w:top w:w="60" w:type="dxa"/>
              <w:left w:w="120" w:type="dxa"/>
              <w:bottom w:w="30" w:type="dxa"/>
              <w:right w:w="120" w:type="dxa"/>
            </w:tcMar>
            <w:vAlign w:val="center"/>
          </w:tcPr>
          <w:p w14:paraId="7DA21A25">
            <w:pPr>
              <w:keepNext/>
              <w:keepLines w:val="0"/>
              <w:pageBreakBefore w:val="0"/>
              <w:widowControl w:val="0"/>
              <w:kinsoku/>
              <w:wordWrap/>
              <w:overflowPunct/>
              <w:topLinePunct w:val="0"/>
              <w:autoSpaceDE/>
              <w:autoSpaceDN/>
              <w:bidi w:val="0"/>
              <w:adjustRightInd/>
              <w:snapToGrid w:val="0"/>
              <w:spacing w:line="360" w:lineRule="exact"/>
              <w:ind w:left="0"/>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产品要求</w:t>
            </w:r>
          </w:p>
        </w:tc>
        <w:tc>
          <w:tcPr>
            <w:tcW w:w="1330" w:type="dxa"/>
            <w:tcMar>
              <w:top w:w="60" w:type="dxa"/>
              <w:left w:w="120" w:type="dxa"/>
              <w:bottom w:w="30" w:type="dxa"/>
              <w:right w:w="120" w:type="dxa"/>
            </w:tcMar>
            <w:vAlign w:val="center"/>
          </w:tcPr>
          <w:p w14:paraId="3BB75B6C">
            <w:pPr>
              <w:keepNext/>
              <w:keepLines w:val="0"/>
              <w:pageBreakBefore w:val="0"/>
              <w:widowControl w:val="0"/>
              <w:kinsoku/>
              <w:wordWrap/>
              <w:overflowPunct/>
              <w:topLinePunct w:val="0"/>
              <w:autoSpaceDE/>
              <w:autoSpaceDN/>
              <w:bidi w:val="0"/>
              <w:adjustRightInd/>
              <w:snapToGrid w:val="0"/>
              <w:spacing w:line="360" w:lineRule="exact"/>
              <w:ind w:left="0"/>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产品价格</w:t>
            </w:r>
          </w:p>
        </w:tc>
      </w:tr>
      <w:tr w14:paraId="35F2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0" w:hRule="atLeast"/>
          <w:jc w:val="center"/>
        </w:trPr>
        <w:tc>
          <w:tcPr>
            <w:tcW w:w="681" w:type="dxa"/>
            <w:shd w:val="clear" w:color="auto" w:fill="auto"/>
            <w:tcMar>
              <w:top w:w="60" w:type="dxa"/>
              <w:left w:w="120" w:type="dxa"/>
              <w:bottom w:w="30" w:type="dxa"/>
              <w:right w:w="120" w:type="dxa"/>
            </w:tcMar>
            <w:vAlign w:val="center"/>
          </w:tcPr>
          <w:p w14:paraId="7FD717B5">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全自动体外除颤仪（AED）（</w:t>
            </w:r>
            <w:r>
              <w:rPr>
                <w:rFonts w:hint="eastAsia" w:ascii="宋体" w:hAnsi="宋体" w:eastAsia="宋体" w:cs="宋体"/>
                <w:sz w:val="21"/>
                <w:szCs w:val="21"/>
                <w:highlight w:val="none"/>
                <w:lang w:val="en-US" w:eastAsia="zh-CN"/>
              </w:rPr>
              <w:t>含电池、电极片）</w:t>
            </w:r>
          </w:p>
        </w:tc>
        <w:tc>
          <w:tcPr>
            <w:tcW w:w="582" w:type="dxa"/>
            <w:shd w:val="clear" w:color="auto" w:fill="auto"/>
            <w:tcMar>
              <w:top w:w="60" w:type="dxa"/>
              <w:left w:w="120" w:type="dxa"/>
              <w:bottom w:w="30" w:type="dxa"/>
              <w:right w:w="120" w:type="dxa"/>
            </w:tcMar>
            <w:vAlign w:val="center"/>
          </w:tcPr>
          <w:p w14:paraId="25273D51">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2台</w:t>
            </w:r>
          </w:p>
        </w:tc>
        <w:tc>
          <w:tcPr>
            <w:tcW w:w="7165" w:type="dxa"/>
            <w:shd w:val="clear" w:color="auto" w:fill="auto"/>
            <w:tcMar>
              <w:top w:w="60" w:type="dxa"/>
              <w:left w:w="120" w:type="dxa"/>
              <w:bottom w:w="30" w:type="dxa"/>
              <w:right w:w="120" w:type="dxa"/>
            </w:tcMar>
            <w:vAlign w:val="center"/>
          </w:tcPr>
          <w:p w14:paraId="5A6A9347">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1.1物理规格/性能</w:t>
            </w:r>
          </w:p>
          <w:p w14:paraId="52164D6A">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1.1.1设备具备便携把手</w:t>
            </w:r>
          </w:p>
          <w:p w14:paraId="7CFB74C0">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1.1.2▲抗冲击/跌落性能：机器六面均可承受≥1.5 m跌落冲击</w:t>
            </w:r>
          </w:p>
          <w:p w14:paraId="0E74AED9">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1.1.3防尘防水级别：防尘防水级别IP55</w:t>
            </w:r>
          </w:p>
          <w:p w14:paraId="0AD6057C">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1.1.4工作温度范围满足-20℃～50℃</w:t>
            </w:r>
          </w:p>
          <w:p w14:paraId="77097441">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1.1.5▲工作湿度范围：0%～95%非冷凝</w:t>
            </w:r>
          </w:p>
          <w:p w14:paraId="476785F9">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1.1.6工作大气压力范围：570hPa～1062hPa</w:t>
            </w:r>
          </w:p>
          <w:p w14:paraId="109E99C3">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1.1.7运输、储存温度：-30℃～70℃</w:t>
            </w:r>
          </w:p>
          <w:p w14:paraId="5E517E53">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1.1.8▲符合EN1789急救车标准认证</w:t>
            </w:r>
          </w:p>
          <w:p w14:paraId="450C630A">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 xml:space="preserve">9 </w:t>
            </w:r>
            <w:r>
              <w:rPr>
                <w:rFonts w:hint="eastAsia" w:ascii="宋体" w:hAnsi="宋体" w:eastAsia="宋体" w:cs="宋体"/>
                <w:sz w:val="21"/>
                <w:szCs w:val="21"/>
                <w:highlight w:val="none"/>
              </w:rPr>
              <w:t>▲≥7英寸彩色显示屏</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具有语音、动画、图形指导用户执行急救操作</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屏幕具有自适应环境光调节功能</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设备屏幕支持显示ECG波形。</w:t>
            </w:r>
          </w:p>
          <w:p w14:paraId="04711E4F">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1.2除颤性能</w:t>
            </w:r>
          </w:p>
          <w:p w14:paraId="4FE12EA0">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1.2.1▲采用双相波技术，双相指数截断（BTE）波形，波形参数可根据病人阻抗进行自动补偿，输出能量：成人最大能量可支持360J，病人阻抗范围：20～300Ω</w:t>
            </w:r>
          </w:p>
          <w:p w14:paraId="0AB446CE">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除颤后</w:t>
            </w:r>
            <w:r>
              <w:rPr>
                <w:rFonts w:hint="eastAsia" w:ascii="宋体" w:hAnsi="宋体" w:eastAsia="宋体" w:cs="宋体"/>
                <w:sz w:val="21"/>
                <w:szCs w:val="21"/>
                <w:highlight w:val="none"/>
                <w:lang w:val="en-US" w:eastAsia="zh-CN"/>
              </w:rPr>
              <w:t>ECG波形恢复的时间不大于2s</w:t>
            </w:r>
          </w:p>
          <w:p w14:paraId="6DDB06E4">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1.3电池</w:t>
            </w:r>
          </w:p>
          <w:p w14:paraId="77129B26">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sz w:val="21"/>
                <w:szCs w:val="21"/>
                <w:highlight w:val="none"/>
              </w:rPr>
            </w:pPr>
            <w:r>
              <w:rPr>
                <w:rFonts w:hint="eastAsia" w:ascii="宋体" w:hAnsi="宋体" w:eastAsia="宋体" w:cs="宋体"/>
                <w:sz w:val="21"/>
                <w:szCs w:val="21"/>
                <w:highlight w:val="none"/>
              </w:rPr>
              <w:t>1.3.1▲在室温温度环境下，电池待机寿命不少于5年</w:t>
            </w:r>
            <w:r>
              <w:rPr>
                <w:rFonts w:hint="default" w:ascii="宋体" w:hAnsi="宋体" w:eastAsia="宋体" w:cs="宋体"/>
                <w:sz w:val="21"/>
                <w:szCs w:val="21"/>
                <w:highlight w:val="none"/>
              </w:rPr>
              <w:t>。</w:t>
            </w:r>
          </w:p>
          <w:p w14:paraId="3F31D6BB">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1.3.2▲在适合条件下，至少可支持360次200J除颤治疗或210次360J除颤治疗</w:t>
            </w:r>
          </w:p>
          <w:p w14:paraId="62086176">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1.3.3低电量报警后，至少还可持续30分钟工作时间和至少10次200J除颤充放电或至少6次360J除颤放电</w:t>
            </w:r>
          </w:p>
          <w:p w14:paraId="5E05FB2F">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1.4电极片</w:t>
            </w:r>
          </w:p>
          <w:p w14:paraId="1CA2F902">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1.4.1自动识别成人、小儿电极片，根据电极片类型自动选择对应的除颤能量</w:t>
            </w:r>
          </w:p>
          <w:p w14:paraId="7805473B">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1.4.2具有电极片有效期自检功能和电极片过期提示</w:t>
            </w:r>
          </w:p>
          <w:p w14:paraId="225BB6D1">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1.4.3提供智能语音播报，智能提示急救人员除去病人的衣物、粘贴电极片</w:t>
            </w:r>
          </w:p>
          <w:p w14:paraId="5191436E">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1.5操作</w:t>
            </w:r>
          </w:p>
          <w:p w14:paraId="738C3D2E">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1.5.1可一键快速切换中文、英文或自定义多种语言</w:t>
            </w:r>
          </w:p>
          <w:p w14:paraId="46A12FB3">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1.5.2支持成人/小儿患者类型快速一键切换，可根据病人类型自动切换提示信息、除颤能量和CPR按压模式</w:t>
            </w:r>
          </w:p>
          <w:p w14:paraId="6727B434">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1.5.3 CPR按压模式支持配置30:2，15:2和仅按压模式</w:t>
            </w:r>
          </w:p>
          <w:p w14:paraId="5801AFDE">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1.5.4设备会根据心律分析的结果，自行判断是否需要对患者进行放电除颤,无电击按钮</w:t>
            </w:r>
          </w:p>
          <w:p w14:paraId="50A96E59">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1.6数据传输和存储</w:t>
            </w:r>
          </w:p>
          <w:p w14:paraId="0814FED6">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1.6.1数据传输：支持内置WIFI</w:t>
            </w:r>
            <w:r>
              <w:rPr>
                <w:rFonts w:hint="eastAsia" w:ascii="宋体" w:hAnsi="宋体" w:eastAsia="宋体" w:cs="宋体"/>
                <w:sz w:val="21"/>
                <w:szCs w:val="21"/>
                <w:highlight w:val="none"/>
                <w:lang w:val="en-US" w:eastAsia="zh-CN"/>
              </w:rPr>
              <w:t>/3G</w:t>
            </w:r>
            <w:r>
              <w:rPr>
                <w:rFonts w:hint="eastAsia" w:ascii="宋体" w:hAnsi="宋体" w:eastAsia="宋体" w:cs="宋体"/>
                <w:sz w:val="21"/>
                <w:szCs w:val="21"/>
                <w:highlight w:val="none"/>
              </w:rPr>
              <w:t xml:space="preserve">/4G/5G无线数据传输功能，可将数据传输到AED管理平台 </w:t>
            </w:r>
          </w:p>
          <w:p w14:paraId="55EA6282">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1.6.2数据管理：存储5h的ECG波形，可存储不少于1500份自检报告，支持1000条报警事件；可保存1h抢救现场录音</w:t>
            </w:r>
          </w:p>
          <w:p w14:paraId="43F11A21">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1.7维护与自检</w:t>
            </w:r>
          </w:p>
          <w:p w14:paraId="7176E837">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1.7.1具有用户自检和设备自检功能支持每日、每周、每月、每季度的设备自检</w:t>
            </w:r>
          </w:p>
          <w:p w14:paraId="1C2BCC62">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1.7.2提供设备状态指示灯</w:t>
            </w:r>
          </w:p>
          <w:p w14:paraId="1069DB4B">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1.8机箱要求</w:t>
            </w:r>
          </w:p>
          <w:p w14:paraId="23370EC5">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1.8.1采用壁挂式机箱</w:t>
            </w:r>
            <w:r>
              <w:rPr>
                <w:rFonts w:hint="eastAsia" w:ascii="宋体" w:hAnsi="宋体" w:eastAsia="宋体" w:cs="宋体"/>
                <w:sz w:val="21"/>
                <w:szCs w:val="21"/>
                <w:highlight w:val="none"/>
                <w:lang w:val="en-US" w:eastAsia="zh-Hans"/>
              </w:rPr>
              <w:t>或</w:t>
            </w:r>
            <w:r>
              <w:rPr>
                <w:rFonts w:hint="eastAsia" w:ascii="宋体" w:hAnsi="宋体" w:eastAsia="宋体" w:cs="宋体"/>
                <w:sz w:val="21"/>
                <w:szCs w:val="21"/>
                <w:highlight w:val="none"/>
              </w:rPr>
              <w:t>立地式机柜，可定制外箱颜色和标语。</w:t>
            </w:r>
          </w:p>
          <w:p w14:paraId="5883F3B2">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AED智能管理系统</w:t>
            </w:r>
          </w:p>
          <w:p w14:paraId="08A5058E">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1.9.1系统功能：支持AED设备信息维护、监控（自检、定位、报警、预警、位移监测）、维护日志、权限管理、急救人员管理、急救实时反馈等功能。提供地图显示模式，在AED地图上显示相关信息。</w:t>
            </w:r>
          </w:p>
          <w:p w14:paraId="3F39ED1F">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1.9.2系统反馈功能：设备运行状态显示，根据自检结果，正常/故障显示设备状态，故障时发出报警信息并发送消息到设备管理者；具有急救事件实时反馈功能，系统发送信息至设备绑定管理者或急救员，并自动显示所发生地位置信息。</w:t>
            </w:r>
          </w:p>
          <w:p w14:paraId="196CB418">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1.9.3系统管理：要求提供采购人独立的授权管理账号，开放管理权限，支持采购人随时随地通过手机、平板、电脑自行监管查看，通过分级授权和权限管理实现统一在线管理</w:t>
            </w:r>
          </w:p>
        </w:tc>
        <w:tc>
          <w:tcPr>
            <w:tcW w:w="1330" w:type="dxa"/>
            <w:shd w:val="clear" w:color="auto" w:fill="auto"/>
            <w:tcMar>
              <w:top w:w="60" w:type="dxa"/>
              <w:left w:w="120" w:type="dxa"/>
              <w:bottom w:w="30" w:type="dxa"/>
              <w:right w:w="120" w:type="dxa"/>
            </w:tcMar>
            <w:vAlign w:val="center"/>
          </w:tcPr>
          <w:p w14:paraId="224CAC9F">
            <w:pPr>
              <w:keepNext/>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宋体" w:hAnsi="宋体" w:eastAsia="宋体" w:cs="宋体"/>
                <w:sz w:val="20"/>
                <w:szCs w:val="20"/>
                <w:highlight w:val="none"/>
              </w:rPr>
            </w:pPr>
          </w:p>
        </w:tc>
      </w:tr>
      <w:tr w14:paraId="41D6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6" w:hRule="atLeast"/>
          <w:jc w:val="center"/>
        </w:trPr>
        <w:tc>
          <w:tcPr>
            <w:tcW w:w="681" w:type="dxa"/>
            <w:tcMar>
              <w:top w:w="60" w:type="dxa"/>
              <w:left w:w="120" w:type="dxa"/>
              <w:bottom w:w="30" w:type="dxa"/>
              <w:right w:w="120" w:type="dxa"/>
            </w:tcMar>
            <w:vAlign w:val="center"/>
          </w:tcPr>
          <w:p w14:paraId="6120D8C5">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AED壁挂箱</w:t>
            </w:r>
          </w:p>
        </w:tc>
        <w:tc>
          <w:tcPr>
            <w:tcW w:w="582" w:type="dxa"/>
            <w:tcMar>
              <w:top w:w="60" w:type="dxa"/>
              <w:left w:w="120" w:type="dxa"/>
              <w:bottom w:w="30" w:type="dxa"/>
              <w:right w:w="120" w:type="dxa"/>
            </w:tcMar>
            <w:vAlign w:val="center"/>
          </w:tcPr>
          <w:p w14:paraId="754F0603">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2个</w:t>
            </w:r>
          </w:p>
        </w:tc>
        <w:tc>
          <w:tcPr>
            <w:tcW w:w="7165" w:type="dxa"/>
            <w:tcMar>
              <w:top w:w="60" w:type="dxa"/>
              <w:left w:w="120" w:type="dxa"/>
              <w:bottom w:w="30" w:type="dxa"/>
              <w:right w:w="120" w:type="dxa"/>
            </w:tcMar>
            <w:vAlign w:val="center"/>
          </w:tcPr>
          <w:p w14:paraId="7172BD6E">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与仪器匹配，坚固耐用</w:t>
            </w:r>
          </w:p>
        </w:tc>
        <w:tc>
          <w:tcPr>
            <w:tcW w:w="1330" w:type="dxa"/>
            <w:tcMar>
              <w:top w:w="60" w:type="dxa"/>
              <w:left w:w="120" w:type="dxa"/>
              <w:bottom w:w="30" w:type="dxa"/>
              <w:right w:w="120" w:type="dxa"/>
            </w:tcMar>
            <w:vAlign w:val="center"/>
          </w:tcPr>
          <w:p w14:paraId="29C3B6ED">
            <w:pPr>
              <w:keepNext/>
              <w:keepLines w:val="0"/>
              <w:pageBreakBefore w:val="0"/>
              <w:widowControl w:val="0"/>
              <w:kinsoku/>
              <w:wordWrap/>
              <w:overflowPunct/>
              <w:topLinePunct w:val="0"/>
              <w:autoSpaceDE/>
              <w:autoSpaceDN/>
              <w:bidi w:val="0"/>
              <w:adjustRightInd/>
              <w:snapToGrid w:val="0"/>
              <w:spacing w:line="360" w:lineRule="exact"/>
              <w:ind w:left="0"/>
              <w:jc w:val="center"/>
              <w:textAlignment w:val="auto"/>
              <w:rPr>
                <w:rFonts w:hint="eastAsia" w:ascii="宋体" w:hAnsi="宋体" w:eastAsia="宋体" w:cs="宋体"/>
                <w:sz w:val="20"/>
                <w:szCs w:val="20"/>
                <w:highlight w:val="none"/>
              </w:rPr>
            </w:pPr>
          </w:p>
        </w:tc>
      </w:tr>
      <w:tr w14:paraId="456E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6" w:hRule="atLeast"/>
          <w:jc w:val="center"/>
        </w:trPr>
        <w:tc>
          <w:tcPr>
            <w:tcW w:w="8428" w:type="dxa"/>
            <w:gridSpan w:val="3"/>
            <w:tcMar>
              <w:top w:w="60" w:type="dxa"/>
              <w:left w:w="120" w:type="dxa"/>
              <w:bottom w:w="30" w:type="dxa"/>
              <w:right w:w="120" w:type="dxa"/>
            </w:tcMar>
            <w:vAlign w:val="center"/>
          </w:tcPr>
          <w:p w14:paraId="39ABD56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合计</w:t>
            </w:r>
          </w:p>
        </w:tc>
        <w:tc>
          <w:tcPr>
            <w:tcW w:w="1330" w:type="dxa"/>
            <w:tcMar>
              <w:top w:w="60" w:type="dxa"/>
              <w:left w:w="120" w:type="dxa"/>
              <w:bottom w:w="30" w:type="dxa"/>
              <w:right w:w="120" w:type="dxa"/>
            </w:tcMar>
            <w:vAlign w:val="center"/>
          </w:tcPr>
          <w:p w14:paraId="4EA45755">
            <w:pPr>
              <w:keepNext/>
              <w:keepLines w:val="0"/>
              <w:pageBreakBefore w:val="0"/>
              <w:widowControl w:val="0"/>
              <w:kinsoku/>
              <w:wordWrap/>
              <w:overflowPunct/>
              <w:topLinePunct w:val="0"/>
              <w:autoSpaceDE/>
              <w:autoSpaceDN/>
              <w:bidi w:val="0"/>
              <w:adjustRightInd/>
              <w:snapToGrid w:val="0"/>
              <w:spacing w:line="360" w:lineRule="exact"/>
              <w:ind w:left="0"/>
              <w:jc w:val="center"/>
              <w:textAlignment w:val="auto"/>
              <w:rPr>
                <w:rFonts w:hint="eastAsia" w:ascii="宋体" w:hAnsi="宋体" w:eastAsia="宋体" w:cs="宋体"/>
                <w:sz w:val="20"/>
                <w:szCs w:val="20"/>
                <w:highlight w:val="none"/>
              </w:rPr>
            </w:pPr>
          </w:p>
        </w:tc>
      </w:tr>
    </w:tbl>
    <w:p w14:paraId="26F8D21F">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（以下无正文）</w:t>
      </w:r>
    </w:p>
    <w:p w14:paraId="1D0354E5">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宋体" w:hAnsi="宋体" w:eastAsia="宋体" w:cs="宋体"/>
          <w:sz w:val="21"/>
          <w:szCs w:val="21"/>
          <w:highlight w:val="none"/>
        </w:rPr>
      </w:pPr>
    </w:p>
    <w:p w14:paraId="1A89FDB7">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宋体" w:hAnsi="宋体" w:eastAsia="宋体" w:cs="宋体"/>
          <w:sz w:val="21"/>
          <w:szCs w:val="21"/>
          <w:highlight w:val="none"/>
        </w:rPr>
      </w:pPr>
    </w:p>
    <w:p w14:paraId="202F2FEB">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甲方（盖章）：桂林技师学院</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乙方（盖章）：________________________</w:t>
      </w:r>
    </w:p>
    <w:p w14:paraId="51B361EA">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法定代表人（或授权代表）签字：____</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法定代表人（或授权代表）签字：_</w:t>
      </w:r>
    </w:p>
    <w:p w14:paraId="3E9ABC01">
      <w:pPr>
        <w:pStyle w:val="14"/>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日期：______年____月____日</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日期：______年____月____日</w:t>
      </w:r>
    </w:p>
    <w:p w14:paraId="0D680C84">
      <w:pPr>
        <w:pStyle w:val="14"/>
        <w:spacing w:line="400" w:lineRule="exact"/>
        <w:rPr>
          <w:rFonts w:hint="eastAsia" w:ascii="宋体" w:hAnsi="宋体" w:eastAsia="宋体" w:cs="宋体"/>
          <w:sz w:val="21"/>
          <w:szCs w:val="21"/>
          <w:highlight w:val="none"/>
        </w:rPr>
      </w:pPr>
    </w:p>
    <w:sectPr>
      <w:pgSz w:w="11906" w:h="16838"/>
      <w:pgMar w:top="1418" w:right="1134" w:bottom="1418" w:left="1418" w:header="851" w:footer="992" w:gutter="0"/>
      <w:pgNumType w:fmt="decimal"/>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081048-FD06-4E5B-ACAE-F6AB539BFC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4541E40F-1753-4E65-B283-A6200FE38070}"/>
  </w:font>
  <w:font w:name="方正仿宋_GB2312">
    <w:panose1 w:val="02000000000000000000"/>
    <w:charset w:val="86"/>
    <w:family w:val="auto"/>
    <w:pitch w:val="default"/>
    <w:sig w:usb0="A00002BF" w:usb1="184F6CFA" w:usb2="00000012" w:usb3="00000000" w:csb0="00040001" w:csb1="00000000"/>
    <w:embedRegular r:id="rId3" w:fontKey="{32F9AB6A-BE6A-410B-AAE3-0E710D304C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B7C5">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900C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2900C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820">
    <w:pPr>
      <w:pStyle w:val="18"/>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0175"/>
              <wp:effectExtent l="0" t="0" r="0" b="0"/>
              <wp:wrapNone/>
              <wp:docPr id="2" name="文本框3"/>
              <wp:cNvGraphicFramePr/>
              <a:graphic xmlns:a="http://schemas.openxmlformats.org/drawingml/2006/main">
                <a:graphicData uri="http://schemas.microsoft.com/office/word/2010/wordprocessingShape">
                  <wps:wsp>
                    <wps:cNvSpPr txBox="1"/>
                    <wps:spPr>
                      <a:xfrm>
                        <a:off x="0" y="0"/>
                        <a:ext cx="114300" cy="130175"/>
                      </a:xfrm>
                      <a:prstGeom prst="rect">
                        <a:avLst/>
                      </a:prstGeom>
                      <a:noFill/>
                      <a:ln>
                        <a:noFill/>
                      </a:ln>
                      <a:effectLst/>
                    </wps:spPr>
                    <wps:txbx>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0.25pt;width:9pt;mso-position-horizontal:center;mso-position-horizontal-relative:margin;mso-wrap-style:none;z-index:251659264;mso-width-relative:page;mso-height-relative:page;" filled="f" stroked="f" coordsize="21600,21600" o:allowincell="f" o:gfxdata="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P4RlPQAAAAAwEAAA8AAAAAAAAAAQAgAAAAIgAAAGRycy9k&#10;b3ducmV2LnhtbFBLAQIUABQAAAAIAIdO4kBqwJAk0QEAAKQDAAAOAAAAAAAAAAEAIAAAAB8BAABk&#10;cnMvZTJvRG9jLnhtbFBLBQYAAAAABgAGAFkBAABiBQAAAAA=&#10;">
              <v:fill on="f" focussize="0,0"/>
              <v:stroke on="f"/>
              <v:imagedata o:title=""/>
              <o:lock v:ext="edit" aspectratio="f"/>
              <v:textbox inset="0mm,0mm,0mm,0mm" style="mso-fit-shape-to-text:t;">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61A9">
    <w:pPr>
      <w:pStyle w:val="18"/>
    </w:pPr>
    <w:r>
      <mc:AlternateContent>
        <mc:Choice Requires="wps">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114300" cy="130175"/>
              <wp:effectExtent l="0" t="0" r="0" b="0"/>
              <wp:wrapNone/>
              <wp:docPr id="4" name="文本框3"/>
              <wp:cNvGraphicFramePr/>
              <a:graphic xmlns:a="http://schemas.openxmlformats.org/drawingml/2006/main">
                <a:graphicData uri="http://schemas.microsoft.com/office/word/2010/wordprocessingShape">
                  <wps:wsp>
                    <wps:cNvSpPr txBox="1"/>
                    <wps:spPr>
                      <a:xfrm>
                        <a:off x="0" y="0"/>
                        <a:ext cx="114300" cy="130175"/>
                      </a:xfrm>
                      <a:prstGeom prst="rect">
                        <a:avLst/>
                      </a:prstGeom>
                      <a:noFill/>
                      <a:ln>
                        <a:noFill/>
                      </a:ln>
                      <a:effectLst/>
                    </wps:spPr>
                    <wps:txbx>
                      <w:txbxContent>
                        <w:p w14:paraId="65547A74">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0.25pt;width:9pt;mso-position-horizontal:center;mso-position-horizontal-relative:margin;mso-wrap-style:none;z-index:251661312;mso-width-relative:page;mso-height-relative:page;" filled="f" stroked="f" coordsize="21600,21600" o:allowincell="f" o:gfxdata="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P4RlPQAAAAAwEAAA8AAAAAAAAAAQAgAAAAIgAAAGRycy9k&#10;b3ducmV2LnhtbFBLAQIUABQAAAAIAIdO4kBsEUv60QEAAKQDAAAOAAAAAAAAAAEAIAAAAB8BAABk&#10;cnMvZTJvRG9jLnhtbFBLBQYAAAAABgAGAFkBAABiBQAAAAA=&#10;">
              <v:fill on="f" focussize="0,0"/>
              <v:stroke on="f"/>
              <v:imagedata o:title=""/>
              <o:lock v:ext="edit" aspectratio="f"/>
              <v:textbox inset="0mm,0mm,0mm,0mm" style="mso-fit-shape-to-text:t;">
                <w:txbxContent>
                  <w:p w14:paraId="65547A74">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2CF8A">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4CED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94CED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F0F3F">
    <w:pPr>
      <w:pStyle w:val="18"/>
      <w:wordWrap w:val="0"/>
      <w:ind w:firstLine="4050" w:firstLineChars="225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BD20A8">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1EBD20A8">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F52C">
    <w:pPr>
      <w:pStyle w:val="19"/>
      <w:pBdr>
        <w:bottom w:val="none" w:color="auto" w:sz="0" w:space="0"/>
      </w:pBdr>
      <w:jc w:val="right"/>
      <w:rPr>
        <w:rFonts w:ascii="宋体" w:hAnsi="宋体"/>
        <w:b/>
      </w:rPr>
    </w:pPr>
  </w:p>
  <w:p w14:paraId="437C730A">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FA48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6B0B">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4E2F">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0769A7"/>
    <w:multiLevelType w:val="singleLevel"/>
    <w:tmpl w:val="730769A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gutterAtTop/>
  <w:attachedTemplate r:id="rId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zIsImhkaWQiOiIyNjQyYWY1N2NiYzAzMGFmNWJmZTI5NTY5ZmZlNDMxYyIsInVzZXJDb3VudCI6MzJ9"/>
  </w:docVars>
  <w:rsids>
    <w:rsidRoot w:val="75E51B79"/>
    <w:rsid w:val="000139F6"/>
    <w:rsid w:val="00036EA3"/>
    <w:rsid w:val="00045AB8"/>
    <w:rsid w:val="00060C8E"/>
    <w:rsid w:val="0006675B"/>
    <w:rsid w:val="00074EB4"/>
    <w:rsid w:val="00096FFE"/>
    <w:rsid w:val="0009763C"/>
    <w:rsid w:val="000D30CC"/>
    <w:rsid w:val="000E4C28"/>
    <w:rsid w:val="000E7401"/>
    <w:rsid w:val="001237B8"/>
    <w:rsid w:val="00133B29"/>
    <w:rsid w:val="00161775"/>
    <w:rsid w:val="00166576"/>
    <w:rsid w:val="0019509A"/>
    <w:rsid w:val="001C7D6D"/>
    <w:rsid w:val="001D2F95"/>
    <w:rsid w:val="001E32FB"/>
    <w:rsid w:val="001E5999"/>
    <w:rsid w:val="00204C98"/>
    <w:rsid w:val="00212FDE"/>
    <w:rsid w:val="00213BA0"/>
    <w:rsid w:val="002140FD"/>
    <w:rsid w:val="00215417"/>
    <w:rsid w:val="00215A62"/>
    <w:rsid w:val="00226014"/>
    <w:rsid w:val="0023442D"/>
    <w:rsid w:val="00240AD3"/>
    <w:rsid w:val="002523F3"/>
    <w:rsid w:val="00263004"/>
    <w:rsid w:val="00270148"/>
    <w:rsid w:val="00293051"/>
    <w:rsid w:val="002B7E2B"/>
    <w:rsid w:val="002C23AE"/>
    <w:rsid w:val="002D57A4"/>
    <w:rsid w:val="002E76F2"/>
    <w:rsid w:val="002F58C9"/>
    <w:rsid w:val="003229AC"/>
    <w:rsid w:val="00341A74"/>
    <w:rsid w:val="00354CAF"/>
    <w:rsid w:val="003856D4"/>
    <w:rsid w:val="00391AD0"/>
    <w:rsid w:val="003B17CC"/>
    <w:rsid w:val="003E07D2"/>
    <w:rsid w:val="004057E1"/>
    <w:rsid w:val="00406609"/>
    <w:rsid w:val="004330A7"/>
    <w:rsid w:val="00444ED9"/>
    <w:rsid w:val="0046157B"/>
    <w:rsid w:val="00465096"/>
    <w:rsid w:val="00472F2C"/>
    <w:rsid w:val="00492474"/>
    <w:rsid w:val="0049682F"/>
    <w:rsid w:val="004A292E"/>
    <w:rsid w:val="004A3DCE"/>
    <w:rsid w:val="004B1961"/>
    <w:rsid w:val="004C6420"/>
    <w:rsid w:val="004C6AC2"/>
    <w:rsid w:val="004D5294"/>
    <w:rsid w:val="004D6FC0"/>
    <w:rsid w:val="004E646D"/>
    <w:rsid w:val="004F1DD2"/>
    <w:rsid w:val="005008E0"/>
    <w:rsid w:val="005022E5"/>
    <w:rsid w:val="00523A21"/>
    <w:rsid w:val="00562D9F"/>
    <w:rsid w:val="00565C52"/>
    <w:rsid w:val="005764FB"/>
    <w:rsid w:val="005B03F4"/>
    <w:rsid w:val="005B7828"/>
    <w:rsid w:val="005C33EB"/>
    <w:rsid w:val="005C6C34"/>
    <w:rsid w:val="005D0320"/>
    <w:rsid w:val="005D0D74"/>
    <w:rsid w:val="005D386A"/>
    <w:rsid w:val="005D4969"/>
    <w:rsid w:val="005F6978"/>
    <w:rsid w:val="00604DFC"/>
    <w:rsid w:val="00621412"/>
    <w:rsid w:val="00622B48"/>
    <w:rsid w:val="00623C43"/>
    <w:rsid w:val="006243A8"/>
    <w:rsid w:val="00624778"/>
    <w:rsid w:val="00637244"/>
    <w:rsid w:val="006471D3"/>
    <w:rsid w:val="00663D3B"/>
    <w:rsid w:val="00674582"/>
    <w:rsid w:val="00680300"/>
    <w:rsid w:val="006914E2"/>
    <w:rsid w:val="00692FA7"/>
    <w:rsid w:val="006A4204"/>
    <w:rsid w:val="006B2FC8"/>
    <w:rsid w:val="006C18A3"/>
    <w:rsid w:val="006C1A8B"/>
    <w:rsid w:val="006D08E4"/>
    <w:rsid w:val="006D6114"/>
    <w:rsid w:val="006D7724"/>
    <w:rsid w:val="006E17D8"/>
    <w:rsid w:val="006F0FBD"/>
    <w:rsid w:val="00701DA7"/>
    <w:rsid w:val="007046F9"/>
    <w:rsid w:val="00725B97"/>
    <w:rsid w:val="007514FA"/>
    <w:rsid w:val="00752226"/>
    <w:rsid w:val="007569E6"/>
    <w:rsid w:val="007670FC"/>
    <w:rsid w:val="00771B1D"/>
    <w:rsid w:val="00780694"/>
    <w:rsid w:val="00780BC4"/>
    <w:rsid w:val="00784346"/>
    <w:rsid w:val="00791C57"/>
    <w:rsid w:val="007B031F"/>
    <w:rsid w:val="007B3DE0"/>
    <w:rsid w:val="007F0DF3"/>
    <w:rsid w:val="007F2C51"/>
    <w:rsid w:val="007F4666"/>
    <w:rsid w:val="00806926"/>
    <w:rsid w:val="008328D9"/>
    <w:rsid w:val="00832B16"/>
    <w:rsid w:val="00837A70"/>
    <w:rsid w:val="008400EC"/>
    <w:rsid w:val="00846863"/>
    <w:rsid w:val="0085183F"/>
    <w:rsid w:val="00852CFA"/>
    <w:rsid w:val="00856DD5"/>
    <w:rsid w:val="00865F27"/>
    <w:rsid w:val="008865D1"/>
    <w:rsid w:val="008A0A41"/>
    <w:rsid w:val="008A1827"/>
    <w:rsid w:val="008A21D3"/>
    <w:rsid w:val="008A23C5"/>
    <w:rsid w:val="008A2C71"/>
    <w:rsid w:val="008B2DE5"/>
    <w:rsid w:val="008C06D1"/>
    <w:rsid w:val="008C5C2D"/>
    <w:rsid w:val="008D2BD7"/>
    <w:rsid w:val="008D6451"/>
    <w:rsid w:val="00925749"/>
    <w:rsid w:val="00955E0E"/>
    <w:rsid w:val="00976FF0"/>
    <w:rsid w:val="00994453"/>
    <w:rsid w:val="009B4860"/>
    <w:rsid w:val="009E2D1C"/>
    <w:rsid w:val="009E4057"/>
    <w:rsid w:val="00A017CC"/>
    <w:rsid w:val="00A26712"/>
    <w:rsid w:val="00A40C3F"/>
    <w:rsid w:val="00A41846"/>
    <w:rsid w:val="00A545EF"/>
    <w:rsid w:val="00AC68A2"/>
    <w:rsid w:val="00AE1888"/>
    <w:rsid w:val="00AE3EEE"/>
    <w:rsid w:val="00AE7D00"/>
    <w:rsid w:val="00AF115C"/>
    <w:rsid w:val="00AF4264"/>
    <w:rsid w:val="00AF6B6B"/>
    <w:rsid w:val="00B026C1"/>
    <w:rsid w:val="00B06B64"/>
    <w:rsid w:val="00B362AA"/>
    <w:rsid w:val="00B6723E"/>
    <w:rsid w:val="00B91795"/>
    <w:rsid w:val="00BA297A"/>
    <w:rsid w:val="00BB3144"/>
    <w:rsid w:val="00BC0F65"/>
    <w:rsid w:val="00BD0015"/>
    <w:rsid w:val="00BD303F"/>
    <w:rsid w:val="00BF717D"/>
    <w:rsid w:val="00C15455"/>
    <w:rsid w:val="00C1729F"/>
    <w:rsid w:val="00C26211"/>
    <w:rsid w:val="00C2733F"/>
    <w:rsid w:val="00C27E26"/>
    <w:rsid w:val="00C33F29"/>
    <w:rsid w:val="00C51A04"/>
    <w:rsid w:val="00C53F3A"/>
    <w:rsid w:val="00C63EED"/>
    <w:rsid w:val="00C75914"/>
    <w:rsid w:val="00C80FD8"/>
    <w:rsid w:val="00C82939"/>
    <w:rsid w:val="00CC03AE"/>
    <w:rsid w:val="00CC7877"/>
    <w:rsid w:val="00CE5A0E"/>
    <w:rsid w:val="00D02599"/>
    <w:rsid w:val="00D03D99"/>
    <w:rsid w:val="00D1433C"/>
    <w:rsid w:val="00D239CE"/>
    <w:rsid w:val="00D60DEE"/>
    <w:rsid w:val="00D7327A"/>
    <w:rsid w:val="00D82E82"/>
    <w:rsid w:val="00D97B54"/>
    <w:rsid w:val="00DB0BA4"/>
    <w:rsid w:val="00DE04BC"/>
    <w:rsid w:val="00E01AA7"/>
    <w:rsid w:val="00E10732"/>
    <w:rsid w:val="00E12C93"/>
    <w:rsid w:val="00E25813"/>
    <w:rsid w:val="00E30EE8"/>
    <w:rsid w:val="00E673E8"/>
    <w:rsid w:val="00E83C24"/>
    <w:rsid w:val="00E85A1C"/>
    <w:rsid w:val="00E87E47"/>
    <w:rsid w:val="00EA2AA1"/>
    <w:rsid w:val="00EA3F31"/>
    <w:rsid w:val="00EA477E"/>
    <w:rsid w:val="00EA7A3A"/>
    <w:rsid w:val="00EB1372"/>
    <w:rsid w:val="00EB221E"/>
    <w:rsid w:val="00EB5C34"/>
    <w:rsid w:val="00EC542E"/>
    <w:rsid w:val="00ED39BF"/>
    <w:rsid w:val="00EE5C83"/>
    <w:rsid w:val="00EF3ABF"/>
    <w:rsid w:val="00EF44B3"/>
    <w:rsid w:val="00F409DE"/>
    <w:rsid w:val="00F45671"/>
    <w:rsid w:val="00F55EC9"/>
    <w:rsid w:val="00F71121"/>
    <w:rsid w:val="00F80F67"/>
    <w:rsid w:val="00F86293"/>
    <w:rsid w:val="00FB5662"/>
    <w:rsid w:val="00FC0FDE"/>
    <w:rsid w:val="00FC407C"/>
    <w:rsid w:val="00FC43FE"/>
    <w:rsid w:val="00FC524B"/>
    <w:rsid w:val="00FF26EC"/>
    <w:rsid w:val="00FF2F38"/>
    <w:rsid w:val="010A66D2"/>
    <w:rsid w:val="012C2953"/>
    <w:rsid w:val="01753119"/>
    <w:rsid w:val="01A16635"/>
    <w:rsid w:val="01E50D91"/>
    <w:rsid w:val="03B375CC"/>
    <w:rsid w:val="03BB3EB2"/>
    <w:rsid w:val="044F0E80"/>
    <w:rsid w:val="04912B01"/>
    <w:rsid w:val="04987974"/>
    <w:rsid w:val="04B84A74"/>
    <w:rsid w:val="05234F1D"/>
    <w:rsid w:val="05701D9B"/>
    <w:rsid w:val="0581652A"/>
    <w:rsid w:val="0665331F"/>
    <w:rsid w:val="067D2BC8"/>
    <w:rsid w:val="06883053"/>
    <w:rsid w:val="0692292A"/>
    <w:rsid w:val="073D5987"/>
    <w:rsid w:val="07661D32"/>
    <w:rsid w:val="076B50BC"/>
    <w:rsid w:val="07C926C9"/>
    <w:rsid w:val="084B023A"/>
    <w:rsid w:val="08994466"/>
    <w:rsid w:val="08FF4A34"/>
    <w:rsid w:val="09B308BB"/>
    <w:rsid w:val="0A933AE2"/>
    <w:rsid w:val="0AB36BA5"/>
    <w:rsid w:val="0AF92C5D"/>
    <w:rsid w:val="0B4158E6"/>
    <w:rsid w:val="0BC96C15"/>
    <w:rsid w:val="0D040D3E"/>
    <w:rsid w:val="0D8005DE"/>
    <w:rsid w:val="0D8A1D87"/>
    <w:rsid w:val="0DF41F89"/>
    <w:rsid w:val="0DF578BE"/>
    <w:rsid w:val="0E241F41"/>
    <w:rsid w:val="0F3F5B04"/>
    <w:rsid w:val="0F890F70"/>
    <w:rsid w:val="106B034E"/>
    <w:rsid w:val="109776BD"/>
    <w:rsid w:val="10AA5163"/>
    <w:rsid w:val="110C2EE5"/>
    <w:rsid w:val="11616E90"/>
    <w:rsid w:val="11BA5BD1"/>
    <w:rsid w:val="122373F4"/>
    <w:rsid w:val="126564CC"/>
    <w:rsid w:val="12A956FF"/>
    <w:rsid w:val="12B7564A"/>
    <w:rsid w:val="132316DA"/>
    <w:rsid w:val="14973E5E"/>
    <w:rsid w:val="14FB53F1"/>
    <w:rsid w:val="15540325"/>
    <w:rsid w:val="15A10873"/>
    <w:rsid w:val="15A47157"/>
    <w:rsid w:val="170B6788"/>
    <w:rsid w:val="17355A17"/>
    <w:rsid w:val="17AD75C8"/>
    <w:rsid w:val="18267A00"/>
    <w:rsid w:val="18E900C4"/>
    <w:rsid w:val="192B65C5"/>
    <w:rsid w:val="195E16BF"/>
    <w:rsid w:val="19964106"/>
    <w:rsid w:val="1A043237"/>
    <w:rsid w:val="1A233367"/>
    <w:rsid w:val="1ADC77E7"/>
    <w:rsid w:val="1BC35D27"/>
    <w:rsid w:val="1BEF1A7E"/>
    <w:rsid w:val="1BFF034A"/>
    <w:rsid w:val="1C2A22C1"/>
    <w:rsid w:val="1D9B6785"/>
    <w:rsid w:val="1D9E14A2"/>
    <w:rsid w:val="1EC804C2"/>
    <w:rsid w:val="1ED029FA"/>
    <w:rsid w:val="1EDD1E30"/>
    <w:rsid w:val="1EEE53EA"/>
    <w:rsid w:val="1F6142BD"/>
    <w:rsid w:val="1FC5081F"/>
    <w:rsid w:val="20921838"/>
    <w:rsid w:val="20E87DBA"/>
    <w:rsid w:val="216D2476"/>
    <w:rsid w:val="219F4623"/>
    <w:rsid w:val="21ED1832"/>
    <w:rsid w:val="22055EB1"/>
    <w:rsid w:val="22716AE9"/>
    <w:rsid w:val="22BD2219"/>
    <w:rsid w:val="230F7587"/>
    <w:rsid w:val="233174FD"/>
    <w:rsid w:val="23AE5B30"/>
    <w:rsid w:val="23E909D8"/>
    <w:rsid w:val="241D3C1A"/>
    <w:rsid w:val="2483022C"/>
    <w:rsid w:val="24ED4D4E"/>
    <w:rsid w:val="259A144D"/>
    <w:rsid w:val="25CE06AD"/>
    <w:rsid w:val="260E1740"/>
    <w:rsid w:val="26717580"/>
    <w:rsid w:val="26AC6540"/>
    <w:rsid w:val="26F234F5"/>
    <w:rsid w:val="275D51F1"/>
    <w:rsid w:val="27686C76"/>
    <w:rsid w:val="27D603D0"/>
    <w:rsid w:val="289C5B8D"/>
    <w:rsid w:val="28EC7F16"/>
    <w:rsid w:val="29A630B7"/>
    <w:rsid w:val="2A5A37DD"/>
    <w:rsid w:val="2AA27B3A"/>
    <w:rsid w:val="2B291AFB"/>
    <w:rsid w:val="2BC804A4"/>
    <w:rsid w:val="2BCC043D"/>
    <w:rsid w:val="2C165497"/>
    <w:rsid w:val="2CE776D5"/>
    <w:rsid w:val="2D6312E5"/>
    <w:rsid w:val="2D962125"/>
    <w:rsid w:val="2E9D638E"/>
    <w:rsid w:val="2EE60398"/>
    <w:rsid w:val="2EF30CD1"/>
    <w:rsid w:val="30107207"/>
    <w:rsid w:val="305D4027"/>
    <w:rsid w:val="30CD11F8"/>
    <w:rsid w:val="31766979"/>
    <w:rsid w:val="318079FC"/>
    <w:rsid w:val="31AB5430"/>
    <w:rsid w:val="31CC3937"/>
    <w:rsid w:val="31F21886"/>
    <w:rsid w:val="320544A2"/>
    <w:rsid w:val="328732F9"/>
    <w:rsid w:val="330A737A"/>
    <w:rsid w:val="3378480A"/>
    <w:rsid w:val="33B42502"/>
    <w:rsid w:val="33D14765"/>
    <w:rsid w:val="33DF035E"/>
    <w:rsid w:val="33EF7F62"/>
    <w:rsid w:val="342B1D46"/>
    <w:rsid w:val="34371239"/>
    <w:rsid w:val="345D5666"/>
    <w:rsid w:val="34BD35CF"/>
    <w:rsid w:val="350E3B42"/>
    <w:rsid w:val="351D1FD7"/>
    <w:rsid w:val="35AE7CB5"/>
    <w:rsid w:val="35D85563"/>
    <w:rsid w:val="35E61494"/>
    <w:rsid w:val="363D59C4"/>
    <w:rsid w:val="36C63DDD"/>
    <w:rsid w:val="37605072"/>
    <w:rsid w:val="379530C6"/>
    <w:rsid w:val="37B54672"/>
    <w:rsid w:val="38335C44"/>
    <w:rsid w:val="386775C9"/>
    <w:rsid w:val="389C49EB"/>
    <w:rsid w:val="39830025"/>
    <w:rsid w:val="398B238B"/>
    <w:rsid w:val="39CD2F79"/>
    <w:rsid w:val="3A7538DC"/>
    <w:rsid w:val="3AF95952"/>
    <w:rsid w:val="3B2600EC"/>
    <w:rsid w:val="3B285E38"/>
    <w:rsid w:val="3B2F4DD2"/>
    <w:rsid w:val="3B7D08EC"/>
    <w:rsid w:val="3BE131DF"/>
    <w:rsid w:val="3BF70E8C"/>
    <w:rsid w:val="3C024279"/>
    <w:rsid w:val="3C042DCE"/>
    <w:rsid w:val="3C0542A3"/>
    <w:rsid w:val="3C1C09D2"/>
    <w:rsid w:val="3C557944"/>
    <w:rsid w:val="3C877553"/>
    <w:rsid w:val="3CA32900"/>
    <w:rsid w:val="3CDE0BA5"/>
    <w:rsid w:val="3D3D158D"/>
    <w:rsid w:val="3D6756C2"/>
    <w:rsid w:val="3EA9336E"/>
    <w:rsid w:val="3EAC0E1E"/>
    <w:rsid w:val="3F24302C"/>
    <w:rsid w:val="3FA150ED"/>
    <w:rsid w:val="3FD25F55"/>
    <w:rsid w:val="404440AC"/>
    <w:rsid w:val="414C5D81"/>
    <w:rsid w:val="41D74F6B"/>
    <w:rsid w:val="41F857B7"/>
    <w:rsid w:val="42112CF3"/>
    <w:rsid w:val="42930ACD"/>
    <w:rsid w:val="42F57DAD"/>
    <w:rsid w:val="42F9198D"/>
    <w:rsid w:val="43174B53"/>
    <w:rsid w:val="438A53A5"/>
    <w:rsid w:val="43D6193C"/>
    <w:rsid w:val="43F65ECD"/>
    <w:rsid w:val="44763F72"/>
    <w:rsid w:val="44A245EA"/>
    <w:rsid w:val="45A8564E"/>
    <w:rsid w:val="46584C1D"/>
    <w:rsid w:val="48821F4E"/>
    <w:rsid w:val="49025314"/>
    <w:rsid w:val="495A7C96"/>
    <w:rsid w:val="496C34DD"/>
    <w:rsid w:val="49C27E71"/>
    <w:rsid w:val="49D60CD8"/>
    <w:rsid w:val="4A4B6568"/>
    <w:rsid w:val="4AB630F1"/>
    <w:rsid w:val="4B4136DD"/>
    <w:rsid w:val="4B4F3259"/>
    <w:rsid w:val="4BC62629"/>
    <w:rsid w:val="4BD02064"/>
    <w:rsid w:val="4BFD0F1A"/>
    <w:rsid w:val="4BFD628E"/>
    <w:rsid w:val="4C076A44"/>
    <w:rsid w:val="4C596C84"/>
    <w:rsid w:val="4D525358"/>
    <w:rsid w:val="4D8175A8"/>
    <w:rsid w:val="4F363F69"/>
    <w:rsid w:val="4F3D6DB4"/>
    <w:rsid w:val="4F483C6B"/>
    <w:rsid w:val="4F7F64EA"/>
    <w:rsid w:val="4FBB7292"/>
    <w:rsid w:val="50C27A3F"/>
    <w:rsid w:val="50E104DF"/>
    <w:rsid w:val="51C65F7B"/>
    <w:rsid w:val="52D70CAE"/>
    <w:rsid w:val="531B4E1F"/>
    <w:rsid w:val="5359728F"/>
    <w:rsid w:val="53901D41"/>
    <w:rsid w:val="54964B8C"/>
    <w:rsid w:val="54C5285E"/>
    <w:rsid w:val="551A4FE2"/>
    <w:rsid w:val="552611C2"/>
    <w:rsid w:val="55F91A28"/>
    <w:rsid w:val="56226ADC"/>
    <w:rsid w:val="56D87167"/>
    <w:rsid w:val="56E83FC0"/>
    <w:rsid w:val="572B4761"/>
    <w:rsid w:val="572C0433"/>
    <w:rsid w:val="573434A1"/>
    <w:rsid w:val="577C5E4D"/>
    <w:rsid w:val="579A192A"/>
    <w:rsid w:val="57B67D2B"/>
    <w:rsid w:val="5874602B"/>
    <w:rsid w:val="58D66494"/>
    <w:rsid w:val="59C24448"/>
    <w:rsid w:val="5A295A0B"/>
    <w:rsid w:val="5A8C0EE1"/>
    <w:rsid w:val="5A8D514F"/>
    <w:rsid w:val="5B272DD9"/>
    <w:rsid w:val="5B800199"/>
    <w:rsid w:val="5BA13498"/>
    <w:rsid w:val="5BA41529"/>
    <w:rsid w:val="5BE52B9A"/>
    <w:rsid w:val="5C0F0D95"/>
    <w:rsid w:val="5C115B42"/>
    <w:rsid w:val="5CCA2340"/>
    <w:rsid w:val="5CE473B9"/>
    <w:rsid w:val="5CF119CD"/>
    <w:rsid w:val="5D711E20"/>
    <w:rsid w:val="5DA36C6E"/>
    <w:rsid w:val="5DC054A1"/>
    <w:rsid w:val="5E3D28D3"/>
    <w:rsid w:val="5E606BEC"/>
    <w:rsid w:val="5ED612DC"/>
    <w:rsid w:val="5EDE5096"/>
    <w:rsid w:val="5EE50807"/>
    <w:rsid w:val="5EEC2B68"/>
    <w:rsid w:val="5F4F2649"/>
    <w:rsid w:val="5F6C4617"/>
    <w:rsid w:val="5F7B6E87"/>
    <w:rsid w:val="5FDC2B88"/>
    <w:rsid w:val="5FFF0488"/>
    <w:rsid w:val="6014041E"/>
    <w:rsid w:val="605D6E26"/>
    <w:rsid w:val="606802A4"/>
    <w:rsid w:val="60B60BF3"/>
    <w:rsid w:val="61074A5C"/>
    <w:rsid w:val="61420AD1"/>
    <w:rsid w:val="616E6854"/>
    <w:rsid w:val="62631592"/>
    <w:rsid w:val="62CA2DAE"/>
    <w:rsid w:val="62CC554B"/>
    <w:rsid w:val="62F615EE"/>
    <w:rsid w:val="632054D3"/>
    <w:rsid w:val="6379364A"/>
    <w:rsid w:val="639067CA"/>
    <w:rsid w:val="64184007"/>
    <w:rsid w:val="64537181"/>
    <w:rsid w:val="653D135A"/>
    <w:rsid w:val="65550C57"/>
    <w:rsid w:val="656F0478"/>
    <w:rsid w:val="65C37B0B"/>
    <w:rsid w:val="65CF110B"/>
    <w:rsid w:val="65D94CEF"/>
    <w:rsid w:val="660F6C3C"/>
    <w:rsid w:val="67B624F0"/>
    <w:rsid w:val="68186492"/>
    <w:rsid w:val="6829087E"/>
    <w:rsid w:val="688558EE"/>
    <w:rsid w:val="68DE74DB"/>
    <w:rsid w:val="691A4FE0"/>
    <w:rsid w:val="69F11B14"/>
    <w:rsid w:val="6A236165"/>
    <w:rsid w:val="6A945E30"/>
    <w:rsid w:val="6AD95F14"/>
    <w:rsid w:val="6B66650A"/>
    <w:rsid w:val="6BDB2DF7"/>
    <w:rsid w:val="6BE75F78"/>
    <w:rsid w:val="6BEB021F"/>
    <w:rsid w:val="6C5E4134"/>
    <w:rsid w:val="6C8851EE"/>
    <w:rsid w:val="6C963DDA"/>
    <w:rsid w:val="6D0B7CAC"/>
    <w:rsid w:val="6D750FCF"/>
    <w:rsid w:val="6D8C078C"/>
    <w:rsid w:val="6DE25517"/>
    <w:rsid w:val="6E0E300C"/>
    <w:rsid w:val="6E65203D"/>
    <w:rsid w:val="6E76074E"/>
    <w:rsid w:val="6EAB5982"/>
    <w:rsid w:val="6FB1521A"/>
    <w:rsid w:val="6FB82BDF"/>
    <w:rsid w:val="703121E4"/>
    <w:rsid w:val="70363DCE"/>
    <w:rsid w:val="706E3D83"/>
    <w:rsid w:val="707A4BCF"/>
    <w:rsid w:val="70CC6A41"/>
    <w:rsid w:val="71BB7335"/>
    <w:rsid w:val="71BF3E7B"/>
    <w:rsid w:val="721679DC"/>
    <w:rsid w:val="72781171"/>
    <w:rsid w:val="73C21A87"/>
    <w:rsid w:val="74164B45"/>
    <w:rsid w:val="749F39FC"/>
    <w:rsid w:val="752A0725"/>
    <w:rsid w:val="75302B31"/>
    <w:rsid w:val="758A560A"/>
    <w:rsid w:val="759E2361"/>
    <w:rsid w:val="75E51B79"/>
    <w:rsid w:val="75F90FCF"/>
    <w:rsid w:val="761D0E71"/>
    <w:rsid w:val="767825EE"/>
    <w:rsid w:val="767D1B18"/>
    <w:rsid w:val="77194488"/>
    <w:rsid w:val="771A77AA"/>
    <w:rsid w:val="775B1A79"/>
    <w:rsid w:val="77E749EE"/>
    <w:rsid w:val="77EB3293"/>
    <w:rsid w:val="79295E21"/>
    <w:rsid w:val="79892D64"/>
    <w:rsid w:val="79906E84"/>
    <w:rsid w:val="79CD32C8"/>
    <w:rsid w:val="7A322A42"/>
    <w:rsid w:val="7A3F74BB"/>
    <w:rsid w:val="7A5F74AE"/>
    <w:rsid w:val="7A892A58"/>
    <w:rsid w:val="7AD837C5"/>
    <w:rsid w:val="7AE244DA"/>
    <w:rsid w:val="7B2B0756"/>
    <w:rsid w:val="7B2E5D41"/>
    <w:rsid w:val="7C077F47"/>
    <w:rsid w:val="7C3A35D6"/>
    <w:rsid w:val="7C4B5F31"/>
    <w:rsid w:val="7C6A2ADC"/>
    <w:rsid w:val="7CA70990"/>
    <w:rsid w:val="7CAF47E4"/>
    <w:rsid w:val="7CF02F12"/>
    <w:rsid w:val="7D094792"/>
    <w:rsid w:val="7D6D7FBA"/>
    <w:rsid w:val="7D913EC0"/>
    <w:rsid w:val="7DEC5C7B"/>
    <w:rsid w:val="7DFB5AC5"/>
    <w:rsid w:val="7EA054E3"/>
    <w:rsid w:val="7EBB1A7D"/>
    <w:rsid w:val="7EF15FBF"/>
    <w:rsid w:val="7EF90864"/>
    <w:rsid w:val="7F6664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6"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6"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6" w:semiHidden="0" w:name="Body Text 3"/>
    <w:lsdException w:qFormat="1" w:unhideWhenUsed="0" w:uiPriority="6"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6"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38"/>
    <w:qFormat/>
    <w:uiPriority w:val="6"/>
    <w:pPr>
      <w:keepNext/>
      <w:keepLines/>
      <w:spacing w:before="340" w:after="330" w:line="576" w:lineRule="auto"/>
      <w:jc w:val="center"/>
      <w:outlineLvl w:val="0"/>
    </w:pPr>
    <w:rPr>
      <w:b/>
      <w:color w:val="auto"/>
      <w:sz w:val="32"/>
      <w:szCs w:val="44"/>
    </w:rPr>
  </w:style>
  <w:style w:type="paragraph" w:styleId="3">
    <w:name w:val="heading 2"/>
    <w:basedOn w:val="1"/>
    <w:next w:val="1"/>
    <w:link w:val="39"/>
    <w:qFormat/>
    <w:uiPriority w:val="6"/>
    <w:pPr>
      <w:keepNext/>
      <w:keepLines/>
      <w:spacing w:before="240" w:after="240" w:line="413" w:lineRule="auto"/>
      <w:jc w:val="center"/>
      <w:outlineLvl w:val="1"/>
    </w:pPr>
    <w:rPr>
      <w:rFonts w:ascii="Arial" w:hAnsi="Arial"/>
      <w:b/>
      <w:color w:val="auto"/>
      <w:sz w:val="32"/>
      <w:szCs w:val="32"/>
    </w:rPr>
  </w:style>
  <w:style w:type="paragraph" w:styleId="4">
    <w:name w:val="heading 3"/>
    <w:basedOn w:val="1"/>
    <w:next w:val="1"/>
    <w:qFormat/>
    <w:uiPriority w:val="6"/>
    <w:pPr>
      <w:keepNext/>
      <w:keepLines/>
      <w:spacing w:before="260" w:after="260" w:line="413" w:lineRule="auto"/>
      <w:outlineLvl w:val="2"/>
    </w:pPr>
    <w:rPr>
      <w:b/>
      <w:sz w:val="32"/>
      <w:szCs w:val="32"/>
    </w:rPr>
  </w:style>
  <w:style w:type="paragraph" w:styleId="5">
    <w:name w:val="heading 4"/>
    <w:basedOn w:val="1"/>
    <w:next w:val="1"/>
    <w:qFormat/>
    <w:uiPriority w:val="6"/>
    <w:pPr>
      <w:keepNext/>
      <w:keepLines/>
      <w:spacing w:before="280" w:after="290" w:line="372" w:lineRule="auto"/>
      <w:outlineLvl w:val="3"/>
    </w:pPr>
    <w:rPr>
      <w:rFonts w:ascii="Arial" w:hAnsi="Arial" w:eastAsia="黑体" w:cs="Arial"/>
      <w:b/>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spacing w:line="400" w:lineRule="exact"/>
      <w:ind w:left="2940" w:firstLine="1044" w:firstLineChars="200"/>
      <w:jc w:val="left"/>
    </w:pPr>
  </w:style>
  <w:style w:type="paragraph" w:styleId="7">
    <w:name w:val="Normal Indent"/>
    <w:basedOn w:val="1"/>
    <w:next w:val="1"/>
    <w:qFormat/>
    <w:uiPriority w:val="0"/>
    <w:pPr>
      <w:ind w:firstLine="420"/>
    </w:pPr>
    <w:rPr>
      <w:szCs w:val="20"/>
    </w:rPr>
  </w:style>
  <w:style w:type="paragraph" w:styleId="8">
    <w:name w:val="Document Map"/>
    <w:basedOn w:val="1"/>
    <w:qFormat/>
    <w:uiPriority w:val="6"/>
    <w:rPr>
      <w:rFonts w:ascii="宋体" w:hAnsi="宋体"/>
      <w:kern w:val="1"/>
      <w:sz w:val="18"/>
      <w:szCs w:val="18"/>
      <w:lang w:val="zh-CN"/>
    </w:rPr>
  </w:style>
  <w:style w:type="paragraph" w:styleId="9">
    <w:name w:val="annotation text"/>
    <w:basedOn w:val="1"/>
    <w:link w:val="40"/>
    <w:qFormat/>
    <w:uiPriority w:val="6"/>
    <w:pPr>
      <w:jc w:val="left"/>
    </w:pPr>
    <w:rPr>
      <w:kern w:val="1"/>
    </w:rPr>
  </w:style>
  <w:style w:type="paragraph" w:styleId="10">
    <w:name w:val="Body Text 3"/>
    <w:basedOn w:val="1"/>
    <w:qFormat/>
    <w:uiPriority w:val="6"/>
    <w:rPr>
      <w:rFonts w:ascii="宋体" w:hAnsi="宋体"/>
      <w:kern w:val="1"/>
      <w:sz w:val="24"/>
      <w:szCs w:val="20"/>
    </w:r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toc 3"/>
    <w:basedOn w:val="1"/>
    <w:next w:val="1"/>
    <w:qFormat/>
    <w:uiPriority w:val="4"/>
    <w:pPr>
      <w:ind w:left="840"/>
    </w:pPr>
    <w:rPr>
      <w:kern w:val="1"/>
    </w:rPr>
  </w:style>
  <w:style w:type="paragraph" w:styleId="14">
    <w:name w:val="Plain Text"/>
    <w:basedOn w:val="1"/>
    <w:next w:val="1"/>
    <w:link w:val="74"/>
    <w:qFormat/>
    <w:uiPriority w:val="0"/>
    <w:rPr>
      <w:rFonts w:ascii="宋体" w:hAnsi="宋体" w:cs="Courier New"/>
      <w:kern w:val="1"/>
      <w:szCs w:val="21"/>
    </w:rPr>
  </w:style>
  <w:style w:type="paragraph" w:styleId="15">
    <w:name w:val="Date"/>
    <w:basedOn w:val="1"/>
    <w:next w:val="1"/>
    <w:qFormat/>
    <w:uiPriority w:val="7"/>
    <w:pPr>
      <w:ind w:left="100"/>
    </w:pPr>
    <w:rPr>
      <w:kern w:val="1"/>
    </w:rPr>
  </w:style>
  <w:style w:type="paragraph" w:styleId="16">
    <w:name w:val="Body Text Indent 2"/>
    <w:basedOn w:val="1"/>
    <w:qFormat/>
    <w:uiPriority w:val="6"/>
    <w:pPr>
      <w:spacing w:after="120" w:line="480" w:lineRule="auto"/>
      <w:ind w:left="420"/>
    </w:pPr>
    <w:rPr>
      <w:kern w:val="1"/>
    </w:rPr>
  </w:style>
  <w:style w:type="paragraph" w:styleId="17">
    <w:name w:val="Balloon Text"/>
    <w:basedOn w:val="1"/>
    <w:qFormat/>
    <w:uiPriority w:val="6"/>
    <w:rPr>
      <w:kern w:val="1"/>
      <w:sz w:val="18"/>
      <w:szCs w:val="18"/>
    </w:rPr>
  </w:style>
  <w:style w:type="paragraph" w:styleId="18">
    <w:name w:val="footer"/>
    <w:basedOn w:val="1"/>
    <w:qFormat/>
    <w:uiPriority w:val="6"/>
    <w:pPr>
      <w:tabs>
        <w:tab w:val="center" w:pos="4153"/>
        <w:tab w:val="right" w:pos="8306"/>
      </w:tabs>
      <w:jc w:val="left"/>
    </w:pPr>
    <w:rPr>
      <w:kern w:val="1"/>
      <w:sz w:val="18"/>
      <w:szCs w:val="18"/>
    </w:rPr>
  </w:style>
  <w:style w:type="paragraph" w:styleId="19">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20">
    <w:name w:val="toc 1"/>
    <w:basedOn w:val="1"/>
    <w:next w:val="1"/>
    <w:qFormat/>
    <w:uiPriority w:val="4"/>
    <w:rPr>
      <w:kern w:val="1"/>
    </w:rPr>
  </w:style>
  <w:style w:type="paragraph" w:styleId="21">
    <w:name w:val="toc 2"/>
    <w:basedOn w:val="1"/>
    <w:next w:val="1"/>
    <w:qFormat/>
    <w:uiPriority w:val="4"/>
    <w:pPr>
      <w:ind w:left="420"/>
    </w:pPr>
    <w:rPr>
      <w:kern w:val="1"/>
    </w:rPr>
  </w:style>
  <w:style w:type="paragraph" w:styleId="22">
    <w:name w:val="Normal (Web)"/>
    <w:basedOn w:val="1"/>
    <w:qFormat/>
    <w:uiPriority w:val="99"/>
    <w:pPr>
      <w:widowControl/>
      <w:spacing w:before="100" w:beforeAutospacing="1" w:after="100" w:afterAutospacing="1"/>
      <w:jc w:val="left"/>
    </w:pPr>
    <w:rPr>
      <w:rFonts w:ascii="宋体" w:hAnsi="宋体" w:cs="宋体"/>
      <w:sz w:val="24"/>
    </w:rPr>
  </w:style>
  <w:style w:type="paragraph" w:styleId="23">
    <w:name w:val="index 1"/>
    <w:basedOn w:val="1"/>
    <w:next w:val="1"/>
    <w:qFormat/>
    <w:uiPriority w:val="6"/>
    <w:rPr>
      <w:kern w:val="1"/>
    </w:rPr>
  </w:style>
  <w:style w:type="paragraph" w:styleId="24">
    <w:name w:val="Title"/>
    <w:basedOn w:val="1"/>
    <w:qFormat/>
    <w:uiPriority w:val="0"/>
    <w:pPr>
      <w:jc w:val="center"/>
      <w:outlineLvl w:val="0"/>
    </w:pPr>
    <w:rPr>
      <w:rFonts w:ascii="Arial" w:hAnsi="Arial" w:cs="Arial"/>
      <w:b/>
      <w:bCs/>
      <w:sz w:val="32"/>
      <w:szCs w:val="32"/>
    </w:rPr>
  </w:style>
  <w:style w:type="paragraph" w:styleId="25">
    <w:name w:val="annotation subject"/>
    <w:basedOn w:val="9"/>
    <w:next w:val="9"/>
    <w:link w:val="41"/>
    <w:qFormat/>
    <w:uiPriority w:val="0"/>
    <w:rPr>
      <w:b/>
      <w:bCs/>
      <w:kern w:val="0"/>
    </w:rPr>
  </w:style>
  <w:style w:type="paragraph" w:styleId="26">
    <w:name w:val="Body Text First Indent"/>
    <w:basedOn w:val="11"/>
    <w:qFormat/>
    <w:uiPriority w:val="0"/>
    <w:pPr>
      <w:ind w:firstLine="420"/>
    </w:pPr>
    <w:rPr>
      <w:kern w:val="2"/>
      <w:sz w:val="32"/>
    </w:rPr>
  </w:style>
  <w:style w:type="paragraph" w:styleId="27">
    <w:name w:val="Body Text First Indent 2"/>
    <w:basedOn w:val="12"/>
    <w:link w:val="42"/>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6"/>
  </w:style>
  <w:style w:type="character" w:styleId="33">
    <w:name w:val="Hyperlink"/>
    <w:qFormat/>
    <w:uiPriority w:val="7"/>
    <w:rPr>
      <w:color w:val="0000FF"/>
      <w:u w:val="single"/>
    </w:rPr>
  </w:style>
  <w:style w:type="character" w:styleId="34">
    <w:name w:val="annotation reference"/>
    <w:qFormat/>
    <w:uiPriority w:val="0"/>
    <w:rPr>
      <w:sz w:val="21"/>
      <w:szCs w:val="21"/>
    </w:rPr>
  </w:style>
  <w:style w:type="paragraph" w:customStyle="1" w:styleId="35">
    <w:name w:val="表格文字"/>
    <w:basedOn w:val="1"/>
    <w:qFormat/>
    <w:uiPriority w:val="0"/>
    <w:pPr>
      <w:spacing w:line="420" w:lineRule="atLeast"/>
      <w:jc w:val="left"/>
    </w:pPr>
    <w:rPr>
      <w:szCs w:val="20"/>
    </w:rPr>
  </w:style>
  <w:style w:type="paragraph" w:customStyle="1" w:styleId="36">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标题 1 Char"/>
    <w:link w:val="2"/>
    <w:qFormat/>
    <w:uiPriority w:val="6"/>
    <w:rPr>
      <w:rFonts w:ascii="Times New Roman" w:hAnsi="Times New Roman" w:eastAsia="宋体"/>
      <w:b/>
      <w:sz w:val="32"/>
      <w:szCs w:val="44"/>
    </w:rPr>
  </w:style>
  <w:style w:type="character" w:customStyle="1" w:styleId="39">
    <w:name w:val="标题 2 Char"/>
    <w:link w:val="3"/>
    <w:qFormat/>
    <w:uiPriority w:val="6"/>
    <w:rPr>
      <w:rFonts w:ascii="Arial" w:hAnsi="Arial" w:eastAsia="宋体" w:cs="Arial"/>
      <w:b/>
      <w:sz w:val="32"/>
      <w:szCs w:val="32"/>
    </w:rPr>
  </w:style>
  <w:style w:type="character" w:customStyle="1" w:styleId="40">
    <w:name w:val="批注文字 Char"/>
    <w:link w:val="9"/>
    <w:qFormat/>
    <w:uiPriority w:val="6"/>
    <w:rPr>
      <w:color w:val="000000"/>
      <w:kern w:val="1"/>
      <w:sz w:val="21"/>
      <w:szCs w:val="24"/>
    </w:rPr>
  </w:style>
  <w:style w:type="character" w:customStyle="1" w:styleId="41">
    <w:name w:val="批注主题 Char"/>
    <w:basedOn w:val="40"/>
    <w:link w:val="25"/>
    <w:qFormat/>
    <w:uiPriority w:val="0"/>
  </w:style>
  <w:style w:type="character" w:customStyle="1" w:styleId="42">
    <w:name w:val="正文首行缩进 2 Char"/>
    <w:link w:val="27"/>
    <w:qFormat/>
    <w:uiPriority w:val="99"/>
    <w:rPr>
      <w:color w:val="000000"/>
      <w:sz w:val="21"/>
      <w:szCs w:val="24"/>
    </w:rPr>
  </w:style>
  <w:style w:type="character" w:customStyle="1" w:styleId="43">
    <w:name w:val="displayarti"/>
    <w:qFormat/>
    <w:uiPriority w:val="7"/>
    <w:rPr>
      <w:color w:val="FFFFFF"/>
      <w:shd w:val="clear" w:color="auto" w:fill="A00000"/>
    </w:rPr>
  </w:style>
  <w:style w:type="character" w:customStyle="1" w:styleId="44">
    <w:name w:val="页码1"/>
    <w:qFormat/>
    <w:uiPriority w:val="6"/>
    <w:rPr>
      <w:rFonts w:cs="Times New Roman"/>
    </w:rPr>
  </w:style>
  <w:style w:type="character" w:customStyle="1" w:styleId="45">
    <w:name w:val="9p"/>
    <w:basedOn w:val="30"/>
    <w:qFormat/>
    <w:uiPriority w:val="0"/>
  </w:style>
  <w:style w:type="character" w:customStyle="1" w:styleId="46">
    <w:name w:val="Char Char"/>
    <w:qFormat/>
    <w:uiPriority w:val="6"/>
    <w:rPr>
      <w:rFonts w:ascii="宋体" w:hAnsi="宋体"/>
      <w:kern w:val="1"/>
      <w:sz w:val="18"/>
      <w:szCs w:val="18"/>
    </w:rPr>
  </w:style>
  <w:style w:type="character" w:customStyle="1" w:styleId="47">
    <w:name w:val="Char Char1"/>
    <w:qFormat/>
    <w:uiPriority w:val="6"/>
    <w:rPr>
      <w:rFonts w:ascii="Arial" w:hAnsi="Arial" w:eastAsia="黑体"/>
      <w:b/>
      <w:kern w:val="1"/>
      <w:sz w:val="28"/>
      <w:szCs w:val="28"/>
      <w:lang w:val="en-US" w:eastAsia="zh-CN" w:bidi="ar-SA"/>
    </w:rPr>
  </w:style>
  <w:style w:type="character" w:customStyle="1" w:styleId="48">
    <w:name w:val="selected"/>
    <w:qFormat/>
    <w:uiPriority w:val="6"/>
    <w:rPr>
      <w:shd w:val="clear" w:color="auto" w:fill="B00006"/>
    </w:rPr>
  </w:style>
  <w:style w:type="character" w:customStyle="1" w:styleId="49">
    <w:name w:val="gpa"/>
    <w:qFormat/>
    <w:uiPriority w:val="6"/>
    <w:rPr>
      <w:rFonts w:ascii="Arial" w:hAnsi="Arial" w:cs="Arial"/>
      <w:sz w:val="15"/>
      <w:szCs w:val="15"/>
    </w:rPr>
  </w:style>
  <w:style w:type="character" w:customStyle="1" w:styleId="50">
    <w:name w:val="Char Char2"/>
    <w:qFormat/>
    <w:uiPriority w:val="6"/>
    <w:rPr>
      <w:rFonts w:eastAsia="宋体"/>
      <w:b/>
      <w:kern w:val="1"/>
      <w:sz w:val="32"/>
      <w:szCs w:val="32"/>
      <w:lang w:val="en-US" w:eastAsia="zh-CN" w:bidi="ar-SA"/>
    </w:rPr>
  </w:style>
  <w:style w:type="paragraph" w:styleId="51">
    <w:name w:val="List Paragraph"/>
    <w:basedOn w:val="1"/>
    <w:qFormat/>
    <w:uiPriority w:val="0"/>
    <w:pPr>
      <w:ind w:firstLine="420" w:firstLineChars="200"/>
    </w:pPr>
    <w:rPr>
      <w:rFonts w:ascii="Calibri" w:hAnsi="Calibri"/>
      <w:szCs w:val="22"/>
    </w:rPr>
  </w:style>
  <w:style w:type="paragraph" w:customStyle="1" w:styleId="52">
    <w:name w:val="Char Char Char Char Char Char"/>
    <w:basedOn w:val="1"/>
    <w:qFormat/>
    <w:uiPriority w:val="6"/>
    <w:rPr>
      <w:kern w:val="1"/>
    </w:rPr>
  </w:style>
  <w:style w:type="paragraph" w:customStyle="1" w:styleId="53">
    <w:name w:val="Header or footer|2"/>
    <w:basedOn w:val="1"/>
    <w:qFormat/>
    <w:uiPriority w:val="0"/>
    <w:rPr>
      <w:sz w:val="20"/>
      <w:szCs w:val="20"/>
      <w:lang w:val="zh-CN" w:bidi="zh-CN"/>
    </w:rPr>
  </w:style>
  <w:style w:type="paragraph" w:customStyle="1" w:styleId="54">
    <w:name w:val="Char Char1 Char Char Char Char"/>
    <w:basedOn w:val="1"/>
    <w:qFormat/>
    <w:uiPriority w:val="6"/>
    <w:pPr>
      <w:spacing w:line="360" w:lineRule="auto"/>
      <w:ind w:firstLine="200"/>
    </w:pPr>
    <w:rPr>
      <w:rFonts w:eastAsia="仿宋_GB2312"/>
      <w:kern w:val="1"/>
      <w:sz w:val="24"/>
    </w:rPr>
  </w:style>
  <w:style w:type="paragraph" w:customStyle="1" w:styleId="55">
    <w:name w:val="Body text|2"/>
    <w:basedOn w:val="1"/>
    <w:qFormat/>
    <w:uiPriority w:val="0"/>
    <w:pPr>
      <w:spacing w:after="160" w:line="388" w:lineRule="exact"/>
      <w:ind w:firstLine="400"/>
    </w:pPr>
    <w:rPr>
      <w:rFonts w:ascii="宋体" w:hAnsi="宋体" w:cs="宋体"/>
      <w:sz w:val="19"/>
      <w:szCs w:val="19"/>
      <w:lang w:val="zh-CN" w:bidi="zh-CN"/>
    </w:rPr>
  </w:style>
  <w:style w:type="paragraph" w:customStyle="1" w:styleId="56">
    <w:name w:val="页眉1"/>
    <w:basedOn w:val="1"/>
    <w:qFormat/>
    <w:uiPriority w:val="6"/>
    <w:pPr>
      <w:pBdr>
        <w:bottom w:val="single" w:color="000000" w:sz="6" w:space="1"/>
      </w:pBdr>
      <w:tabs>
        <w:tab w:val="center" w:pos="4153"/>
        <w:tab w:val="right" w:pos="8306"/>
      </w:tabs>
      <w:jc w:val="center"/>
    </w:pPr>
    <w:rPr>
      <w:kern w:val="1"/>
      <w:sz w:val="18"/>
      <w:szCs w:val="18"/>
    </w:rPr>
  </w:style>
  <w:style w:type="paragraph" w:customStyle="1" w:styleId="5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Other|1"/>
    <w:basedOn w:val="1"/>
    <w:qFormat/>
    <w:uiPriority w:val="0"/>
    <w:pPr>
      <w:spacing w:line="449" w:lineRule="auto"/>
      <w:ind w:firstLine="400"/>
    </w:pPr>
    <w:rPr>
      <w:rFonts w:ascii="宋体" w:hAnsi="宋体" w:cs="宋体"/>
      <w:sz w:val="22"/>
      <w:szCs w:val="22"/>
      <w:lang w:val="zh-CN" w:bidi="zh-CN"/>
    </w:rPr>
  </w:style>
  <w:style w:type="paragraph" w:customStyle="1" w:styleId="60">
    <w:name w:val="Char"/>
    <w:basedOn w:val="1"/>
    <w:qFormat/>
    <w:uiPriority w:val="0"/>
    <w:pPr>
      <w:spacing w:line="360" w:lineRule="auto"/>
      <w:ind w:firstLine="200"/>
    </w:pPr>
    <w:rPr>
      <w:rFonts w:eastAsia="仿宋_GB2312"/>
      <w:kern w:val="1"/>
      <w:sz w:val="24"/>
    </w:rPr>
  </w:style>
  <w:style w:type="paragraph" w:customStyle="1" w:styleId="61">
    <w:name w:val="Body text|1"/>
    <w:basedOn w:val="1"/>
    <w:qFormat/>
    <w:uiPriority w:val="0"/>
    <w:pPr>
      <w:spacing w:line="449" w:lineRule="auto"/>
      <w:ind w:firstLine="400"/>
    </w:pPr>
    <w:rPr>
      <w:rFonts w:ascii="宋体" w:hAnsi="宋体" w:cs="宋体"/>
      <w:sz w:val="22"/>
      <w:szCs w:val="22"/>
      <w:lang w:val="zh-CN" w:bidi="zh-CN"/>
    </w:rPr>
  </w:style>
  <w:style w:type="paragraph" w:customStyle="1" w:styleId="62">
    <w:name w:val="Heading #2|1"/>
    <w:basedOn w:val="1"/>
    <w:qFormat/>
    <w:uiPriority w:val="0"/>
    <w:pPr>
      <w:outlineLvl w:val="1"/>
    </w:pPr>
    <w:rPr>
      <w:rFonts w:ascii="宋体" w:hAnsi="宋体" w:cs="宋体"/>
      <w:sz w:val="26"/>
      <w:szCs w:val="26"/>
      <w:lang w:val="zh-CN" w:bidi="zh-CN"/>
    </w:rPr>
  </w:style>
  <w:style w:type="paragraph" w:customStyle="1" w:styleId="63">
    <w:name w:val="Heading #3|1"/>
    <w:basedOn w:val="1"/>
    <w:qFormat/>
    <w:uiPriority w:val="0"/>
    <w:pPr>
      <w:outlineLvl w:val="2"/>
    </w:pPr>
    <w:rPr>
      <w:rFonts w:ascii="宋体" w:hAnsi="宋体" w:cs="宋体"/>
      <w:b/>
      <w:bCs/>
      <w:sz w:val="22"/>
      <w:szCs w:val="22"/>
      <w:lang w:val="zh-CN" w:bidi="zh-CN"/>
    </w:rPr>
  </w:style>
  <w:style w:type="paragraph" w:customStyle="1" w:styleId="64">
    <w:name w:val="样式 标题 3 + (中文) 黑体 小四 非加粗 段前: 7.8 磅 段后: 0 磅 行距: 固定值 20 磅"/>
    <w:basedOn w:val="4"/>
    <w:qFormat/>
    <w:uiPriority w:val="2"/>
    <w:pPr>
      <w:spacing w:before="0" w:after="0" w:line="400" w:lineRule="exact"/>
    </w:pPr>
    <w:rPr>
      <w:rFonts w:eastAsia="黑体" w:cs="宋体"/>
      <w:b w:val="0"/>
      <w:kern w:val="1"/>
      <w:sz w:val="24"/>
      <w:szCs w:val="20"/>
    </w:rPr>
  </w:style>
  <w:style w:type="paragraph" w:customStyle="1" w:styleId="65">
    <w:name w:val="Heading #1|1"/>
    <w:basedOn w:val="1"/>
    <w:qFormat/>
    <w:uiPriority w:val="0"/>
    <w:pPr>
      <w:spacing w:after="400"/>
      <w:jc w:val="center"/>
      <w:outlineLvl w:val="0"/>
    </w:pPr>
    <w:rPr>
      <w:rFonts w:ascii="宋体" w:hAnsi="宋体" w:cs="宋体"/>
      <w:sz w:val="32"/>
      <w:szCs w:val="32"/>
      <w:lang w:val="zh-CN" w:bidi="zh-CN"/>
    </w:rPr>
  </w:style>
  <w:style w:type="paragraph" w:customStyle="1" w:styleId="66">
    <w:name w:val="列出段落1"/>
    <w:basedOn w:val="1"/>
    <w:qFormat/>
    <w:uiPriority w:val="34"/>
    <w:pPr>
      <w:ind w:firstLine="420" w:firstLineChars="200"/>
    </w:pPr>
  </w:style>
  <w:style w:type="paragraph" w:customStyle="1" w:styleId="67">
    <w:name w:val="样式 标题 2 + Times New Roman 四号 非加粗 段前: 5 磅 段后: 0 磅 行距: 固定值 20..."/>
    <w:basedOn w:val="3"/>
    <w:qFormat/>
    <w:uiPriority w:val="2"/>
    <w:pPr>
      <w:spacing w:before="100" w:after="0" w:line="400" w:lineRule="exact"/>
      <w:jc w:val="left"/>
    </w:pPr>
    <w:rPr>
      <w:rFonts w:ascii="Times New Roman" w:hAnsi="Times New Roman" w:cs="宋体"/>
      <w:kern w:val="1"/>
      <w:sz w:val="24"/>
      <w:szCs w:val="20"/>
    </w:rPr>
  </w:style>
  <w:style w:type="paragraph" w:customStyle="1" w:styleId="68">
    <w:name w:val="页脚1"/>
    <w:basedOn w:val="1"/>
    <w:qFormat/>
    <w:uiPriority w:val="6"/>
    <w:pPr>
      <w:tabs>
        <w:tab w:val="center" w:pos="4153"/>
        <w:tab w:val="right" w:pos="8306"/>
      </w:tabs>
      <w:jc w:val="left"/>
    </w:pPr>
    <w:rPr>
      <w:kern w:val="1"/>
      <w:sz w:val="18"/>
      <w:szCs w:val="18"/>
    </w:rPr>
  </w:style>
  <w:style w:type="paragraph" w:customStyle="1" w:styleId="69">
    <w:name w:val="Char1"/>
    <w:basedOn w:val="1"/>
    <w:qFormat/>
    <w:uiPriority w:val="0"/>
    <w:pPr>
      <w:spacing w:line="408" w:lineRule="auto"/>
      <w:ind w:firstLine="200"/>
      <w:jc w:val="center"/>
    </w:pPr>
    <w:rPr>
      <w:kern w:val="1"/>
    </w:rPr>
  </w:style>
  <w:style w:type="paragraph" w:customStyle="1" w:styleId="70">
    <w:name w:val="Char Char Char Char"/>
    <w:basedOn w:val="1"/>
    <w:qFormat/>
    <w:uiPriority w:val="6"/>
    <w:rPr>
      <w:kern w:val="1"/>
      <w:szCs w:val="20"/>
    </w:rPr>
  </w:style>
  <w:style w:type="paragraph" w:customStyle="1" w:styleId="71">
    <w:name w:val="样式1"/>
    <w:basedOn w:val="2"/>
    <w:qFormat/>
    <w:uiPriority w:val="3"/>
    <w:pPr>
      <w:spacing w:before="0" w:after="0"/>
    </w:pPr>
    <w:rPr>
      <w:kern w:val="1"/>
    </w:rPr>
  </w:style>
  <w:style w:type="paragraph" w:customStyle="1" w:styleId="72">
    <w:name w:val="Table caption|1"/>
    <w:basedOn w:val="1"/>
    <w:qFormat/>
    <w:uiPriority w:val="0"/>
    <w:rPr>
      <w:rFonts w:ascii="宋体" w:hAnsi="宋体" w:cs="宋体"/>
      <w:sz w:val="22"/>
      <w:szCs w:val="22"/>
      <w:lang w:val="zh-CN" w:bidi="zh-CN"/>
    </w:rPr>
  </w:style>
  <w:style w:type="paragraph" w:customStyle="1" w:styleId="73">
    <w:name w:val="Header or footer|1"/>
    <w:basedOn w:val="1"/>
    <w:qFormat/>
    <w:uiPriority w:val="0"/>
    <w:rPr>
      <w:rFonts w:ascii="Arial" w:hAnsi="Arial" w:eastAsia="Arial" w:cs="Arial"/>
      <w:sz w:val="14"/>
      <w:szCs w:val="14"/>
      <w:lang w:val="zh-CN" w:bidi="zh-CN"/>
    </w:rPr>
  </w:style>
  <w:style w:type="character" w:customStyle="1" w:styleId="74">
    <w:name w:val="纯文本 Char"/>
    <w:basedOn w:val="30"/>
    <w:link w:val="14"/>
    <w:qFormat/>
    <w:uiPriority w:val="0"/>
    <w:rPr>
      <w:rFonts w:hint="eastAsia" w:ascii="宋体" w:hAnsi="Courier New" w:eastAsia="宋体" w:cs="宋体"/>
      <w:kern w:val="2"/>
      <w:sz w:val="21"/>
    </w:rPr>
  </w:style>
  <w:style w:type="character" w:customStyle="1" w:styleId="75">
    <w:name w:val="纯文本 Char1"/>
    <w:basedOn w:val="30"/>
    <w:qFormat/>
    <w:uiPriority w:val="0"/>
    <w:rPr>
      <w:rFonts w:ascii="宋体" w:hAnsi="Courier New"/>
      <w:kern w:val="2"/>
      <w:sz w:val="21"/>
    </w:rPr>
  </w:style>
  <w:style w:type="character" w:customStyle="1" w:styleId="76">
    <w:name w:val="font01"/>
    <w:basedOn w:val="30"/>
    <w:qFormat/>
    <w:uiPriority w:val="0"/>
    <w:rPr>
      <w:rFonts w:hint="eastAsia" w:ascii="宋体" w:hAnsi="宋体" w:eastAsia="宋体" w:cs="宋体"/>
      <w:color w:val="000000"/>
      <w:sz w:val="22"/>
      <w:szCs w:val="22"/>
      <w:u w:val="none"/>
    </w:rPr>
  </w:style>
  <w:style w:type="character" w:customStyle="1" w:styleId="77">
    <w:name w:val="font21"/>
    <w:basedOn w:val="30"/>
    <w:qFormat/>
    <w:uiPriority w:val="0"/>
    <w:rPr>
      <w:rFonts w:hint="eastAsia" w:ascii="宋体" w:hAnsi="宋体" w:eastAsia="宋体" w:cs="宋体"/>
      <w:b/>
      <w:bCs/>
      <w:color w:val="000000"/>
      <w:sz w:val="22"/>
      <w:szCs w:val="22"/>
      <w:u w:val="none"/>
    </w:rPr>
  </w:style>
  <w:style w:type="paragraph" w:customStyle="1" w:styleId="78">
    <w:name w:val="Table Text"/>
    <w:basedOn w:val="1"/>
    <w:autoRedefine/>
    <w:semiHidden/>
    <w:qFormat/>
    <w:uiPriority w:val="0"/>
    <w:rPr>
      <w:rFonts w:ascii="宋体" w:hAnsi="宋体" w:eastAsia="宋体" w:cs="宋体"/>
      <w:sz w:val="23"/>
      <w:szCs w:val="23"/>
      <w:lang w:val="en-US" w:eastAsia="en-US" w:bidi="ar-SA"/>
    </w:rPr>
  </w:style>
  <w:style w:type="paragraph" w:customStyle="1" w:styleId="79">
    <w:name w:val="首行缩进"/>
    <w:basedOn w:val="1"/>
    <w:qFormat/>
    <w:uiPriority w:val="0"/>
    <w:pPr>
      <w:ind w:firstLine="480" w:firstLineChars="200"/>
    </w:pPr>
  </w:style>
  <w:style w:type="paragraph" w:customStyle="1" w:styleId="80">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b1\AppData\Roaming\kingsoft\office6\templates\download\5f1fb6d8c039429a87f31beee75b8390\&#24314;&#31569;&#39033;&#30446;&#25307;&#26631;&#25991;&#20214;&#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建筑项目招标文件模板.doc</Template>
  <Pages>20</Pages>
  <Words>5158</Words>
  <Characters>5723</Characters>
  <Lines>75</Lines>
  <Paragraphs>21</Paragraphs>
  <TotalTime>189</TotalTime>
  <ScaleCrop>false</ScaleCrop>
  <LinksUpToDate>false</LinksUpToDate>
  <CharactersWithSpaces>5796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2024-04-26T08:33:00Z</dcterms:created>
  <dc:creator>阿文</dc:creator>
  <cp:lastModifiedBy>阿文</cp:lastModifiedBy>
  <cp:lastPrinted>2025-10-23T07:39:00Z</cp:lastPrinted>
  <dcterms:modified xsi:type="dcterms:W3CDTF">2026-05-20T02:53:54Z</dcterms:modified>
  <dc:title>来安县舜山镇土地整理项目可行性研究、规划设计、预算编制和施工设计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UUID">
    <vt:lpwstr>v1.0_mb_hBJIC4hjVAR5D64kCOFeWQ==</vt:lpwstr>
  </property>
  <property fmtid="{D5CDD505-2E9C-101B-9397-08002B2CF9AE}" pid="4" name="ICV">
    <vt:lpwstr>5713705D2A144AA9806F8F97C4D206AE_13</vt:lpwstr>
  </property>
  <property fmtid="{D5CDD505-2E9C-101B-9397-08002B2CF9AE}" pid="5" name="KSOTemplateDocerSaveRecord">
    <vt:lpwstr>eyJoZGlkIjoiMjY0MmFmNTdjYmMwMzBhZjViZmUyOTU2OWZmZTQzMWMiLCJ1c2VySWQiOiI5Mzk4NzkxOTIifQ==</vt:lpwstr>
  </property>
</Properties>
</file>